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uppressAutoHyphens w:val="0"/>
        <w:autoSpaceDN/>
        <w:snapToGrid w:val="0"/>
        <w:spacing w:before="180" w:beforeLines="50" w:line="360" w:lineRule="auto"/>
        <w:ind w:left="-120" w:leftChars="-50" w:right="-120" w:rightChars="-50"/>
        <w:jc w:val="center"/>
        <w:textAlignment w:val="auto"/>
        <w:rPr>
          <w:rFonts w:hAnsi="標楷體" w:eastAsia="標楷體"/>
          <w:kern w:val="2"/>
          <w:sz w:val="48"/>
          <w:szCs w:val="36"/>
        </w:rPr>
      </w:pPr>
      <w:r>
        <w:rPr>
          <w:rFonts w:hAnsi="標楷體" w:eastAsia="標楷體"/>
          <w:kern w:val="2"/>
          <w:sz w:val="48"/>
          <w:szCs w:val="36"/>
        </w:rPr>
        <w:t>國立</w:t>
      </w:r>
      <w:r>
        <w:rPr>
          <w:rFonts w:hint="eastAsia" w:hAnsi="標楷體" w:eastAsia="標楷體"/>
          <w:kern w:val="2"/>
          <w:sz w:val="48"/>
          <w:szCs w:val="36"/>
        </w:rPr>
        <w:t>臺</w:t>
      </w:r>
      <w:r>
        <w:rPr>
          <w:rFonts w:hAnsi="標楷體" w:eastAsia="標楷體"/>
          <w:kern w:val="2"/>
          <w:sz w:val="48"/>
          <w:szCs w:val="36"/>
        </w:rPr>
        <w:t>灣</w:t>
      </w:r>
      <w:r>
        <w:rPr>
          <w:rFonts w:hint="eastAsia" w:hAnsi="標楷體" w:eastAsia="標楷體"/>
          <w:kern w:val="2"/>
          <w:sz w:val="48"/>
          <w:szCs w:val="36"/>
        </w:rPr>
        <w:t>師範大學附屬高級中學</w:t>
      </w:r>
    </w:p>
    <w:p>
      <w:pPr>
        <w:widowControl/>
        <w:suppressAutoHyphens w:val="0"/>
        <w:autoSpaceDN/>
        <w:snapToGrid w:val="0"/>
        <w:spacing w:line="360" w:lineRule="auto"/>
        <w:ind w:left="-120" w:leftChars="-50" w:right="-120" w:rightChars="-50"/>
        <w:jc w:val="center"/>
        <w:textAlignment w:val="auto"/>
        <w:rPr>
          <w:rFonts w:eastAsia="標楷體"/>
          <w:kern w:val="2"/>
          <w:sz w:val="48"/>
          <w:szCs w:val="36"/>
        </w:rPr>
      </w:pPr>
      <w:r>
        <w:rPr>
          <w:rFonts w:hint="eastAsia" w:hAnsi="標楷體" w:eastAsia="標楷體"/>
          <w:kern w:val="2"/>
          <w:sz w:val="48"/>
          <w:szCs w:val="36"/>
        </w:rPr>
        <w:t>第十一屆1</w:t>
      </w:r>
      <w:r>
        <w:rPr>
          <w:rFonts w:hAnsi="標楷體" w:eastAsia="標楷體"/>
          <w:kern w:val="2"/>
          <w:sz w:val="48"/>
          <w:szCs w:val="36"/>
        </w:rPr>
        <w:t>509</w:t>
      </w:r>
      <w:r>
        <w:rPr>
          <w:rFonts w:hint="eastAsia" w:hAnsi="標楷體" w:eastAsia="標楷體"/>
          <w:kern w:val="2"/>
          <w:sz w:val="48"/>
          <w:szCs w:val="36"/>
        </w:rPr>
        <w:t>科學班專題研究報告</w:t>
      </w: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before="540" w:beforeLines="150" w:line="360" w:lineRule="auto"/>
        <w:jc w:val="center"/>
        <w:textAlignment w:val="auto"/>
        <w:rPr>
          <w:rFonts w:hAnsi="標楷體" w:eastAsia="標楷體"/>
          <w:kern w:val="2"/>
          <w:sz w:val="36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jc w:val="center"/>
        <w:textAlignment w:val="auto"/>
        <w:rPr>
          <w:rFonts w:hint="eastAsia" w:ascii="標楷體" w:hAnsi="標楷體" w:eastAsia="標楷體"/>
          <w:b/>
          <w:kern w:val="2"/>
          <w:sz w:val="56"/>
          <w:szCs w:val="36"/>
        </w:rPr>
      </w:pPr>
      <w:r>
        <w:rPr>
          <w:rFonts w:hint="eastAsia" w:ascii="標楷體" w:hAnsi="標楷體" w:eastAsia="標楷體"/>
          <w:b/>
          <w:kern w:val="2"/>
          <w:sz w:val="56"/>
          <w:szCs w:val="36"/>
        </w:rPr>
        <w:t>預處理對超深型圖像辨識模型</w:t>
      </w:r>
    </w:p>
    <w:p>
      <w:pPr>
        <w:widowControl/>
        <w:suppressAutoHyphens w:val="0"/>
        <w:autoSpaceDN/>
        <w:snapToGrid w:val="0"/>
        <w:spacing w:line="360" w:lineRule="auto"/>
        <w:jc w:val="center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ascii="標楷體" w:hAnsi="標楷體" w:eastAsia="標楷體"/>
          <w:b/>
          <w:kern w:val="2"/>
          <w:sz w:val="56"/>
          <w:szCs w:val="36"/>
        </w:rPr>
        <w:t>泛化</w:t>
      </w:r>
      <w:r>
        <w:rPr>
          <w:rFonts w:hint="eastAsia" w:ascii="標楷體" w:hAnsi="標楷體" w:eastAsia="標楷體"/>
          <w:b/>
          <w:kern w:val="2"/>
          <w:sz w:val="56"/>
          <w:szCs w:val="36"/>
          <w:lang w:eastAsia="zh-TW"/>
        </w:rPr>
        <w:t>能力</w:t>
      </w:r>
      <w:r>
        <w:rPr>
          <w:rFonts w:hint="eastAsia" w:ascii="標楷體" w:hAnsi="標楷體" w:eastAsia="標楷體"/>
          <w:b/>
          <w:kern w:val="2"/>
          <w:sz w:val="56"/>
          <w:szCs w:val="36"/>
        </w:rPr>
        <w:t>的影響</w:t>
      </w: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int="eastAsia" w:hAnsi="標楷體" w:eastAsia="標楷體"/>
          <w:kern w:val="2"/>
          <w:sz w:val="44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textAlignment w:val="auto"/>
        <w:rPr>
          <w:rFonts w:hAnsi="標楷體" w:eastAsia="標楷體"/>
          <w:kern w:val="2"/>
          <w:sz w:val="32"/>
          <w:szCs w:val="36"/>
        </w:rPr>
      </w:pP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專題組別：資訊科</w:t>
      </w: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作    者：</w:t>
      </w:r>
      <w:r>
        <w:rPr>
          <w:rFonts w:hint="eastAsia" w:ascii="標楷體" w:hAnsi="標楷體" w:eastAsia="標楷體"/>
          <w:kern w:val="2"/>
          <w:sz w:val="44"/>
          <w:szCs w:val="36"/>
        </w:rPr>
        <w:t>曹禕中、張柏豐</w:t>
      </w:r>
    </w:p>
    <w:p>
      <w:pPr>
        <w:widowControl/>
        <w:tabs>
          <w:tab w:val="left" w:pos="426"/>
        </w:tabs>
        <w:suppressAutoHyphens w:val="0"/>
        <w:autoSpaceDN/>
        <w:snapToGrid w:val="0"/>
        <w:spacing w:line="360" w:lineRule="auto"/>
        <w:ind w:left="283" w:leftChars="118" w:firstLine="563" w:firstLineChars="128"/>
        <w:textAlignment w:val="auto"/>
        <w:rPr>
          <w:rFonts w:hAnsi="標楷體" w:eastAsia="標楷體"/>
          <w:kern w:val="2"/>
          <w:sz w:val="44"/>
          <w:szCs w:val="36"/>
        </w:rPr>
      </w:pPr>
      <w:r>
        <w:rPr>
          <w:rFonts w:hAnsi="標楷體" w:eastAsia="標楷體"/>
          <w:kern w:val="2"/>
          <w:sz w:val="44"/>
          <w:szCs w:val="36"/>
        </w:rPr>
        <w:t>指導教授：</w:t>
      </w:r>
      <w:r>
        <w:rPr>
          <w:rFonts w:hint="eastAsia" w:hAnsi="標楷體" w:eastAsia="標楷體"/>
          <w:kern w:val="2"/>
          <w:sz w:val="44"/>
          <w:szCs w:val="36"/>
        </w:rPr>
        <w:t>國立臺灣大學陳中平教授</w:t>
      </w:r>
    </w:p>
    <w:p>
      <w:pPr>
        <w:widowControl/>
        <w:suppressAutoHyphens w:val="0"/>
        <w:autoSpaceDN/>
        <w:snapToGrid w:val="0"/>
        <w:spacing w:line="360" w:lineRule="auto"/>
        <w:ind w:firstLine="849" w:firstLineChars="193"/>
        <w:textAlignment w:val="auto"/>
        <w:rPr>
          <w:rFonts w:hint="eastAsia" w:hAnsi="標楷體" w:eastAsia="標楷體"/>
          <w:kern w:val="2"/>
          <w:sz w:val="44"/>
          <w:szCs w:val="36"/>
        </w:rPr>
      </w:pPr>
      <w:r>
        <w:rPr>
          <w:rFonts w:hint="eastAsia" w:hAnsi="標楷體" w:eastAsia="標楷體"/>
          <w:kern w:val="2"/>
          <w:sz w:val="44"/>
          <w:szCs w:val="36"/>
        </w:rPr>
        <w:t>指導老師：洪允東、</w:t>
      </w:r>
      <w:r>
        <w:rPr>
          <w:rFonts w:hint="eastAsia" w:ascii="標楷體" w:hAnsi="標楷體" w:eastAsia="標楷體"/>
          <w:kern w:val="2"/>
          <w:sz w:val="44"/>
          <w:szCs w:val="36"/>
        </w:rPr>
        <w:t>陳智勝</w:t>
      </w:r>
      <w:r>
        <w:rPr>
          <w:rFonts w:hint="eastAsia" w:hAnsi="標楷體" w:eastAsia="標楷體"/>
          <w:kern w:val="2"/>
          <w:sz w:val="44"/>
          <w:szCs w:val="36"/>
        </w:rPr>
        <w:t>老師</w:t>
      </w:r>
    </w:p>
    <w:p>
      <w:pPr>
        <w:spacing w:line="360" w:lineRule="auto"/>
        <w:jc w:val="center"/>
        <w:rPr>
          <w:rFonts w:eastAsia="標楷體"/>
          <w:b/>
          <w:sz w:val="32"/>
          <w:szCs w:val="32"/>
        </w:rPr>
      </w:pPr>
      <w:r>
        <w:rPr>
          <w:rFonts w:hint="eastAsia" w:eastAsia="標楷體"/>
          <w:b/>
          <w:sz w:val="32"/>
          <w:szCs w:val="32"/>
        </w:rPr>
        <w:t>預處理對超深型圖像辨識模型泛化能力的影響</w:t>
      </w:r>
    </w:p>
    <w:p>
      <w:pPr>
        <w:spacing w:line="360" w:lineRule="auto"/>
        <w:jc w:val="right"/>
        <w:rPr>
          <w:rFonts w:hint="eastAsia" w:eastAsia="標楷體"/>
        </w:rPr>
      </w:pPr>
      <w:r>
        <w:rPr>
          <w:rFonts w:eastAsia="標楷體"/>
        </w:rPr>
        <w:t>作者：</w:t>
      </w:r>
      <w:r>
        <w:rPr>
          <w:rFonts w:hint="eastAsia" w:eastAsia="標楷體"/>
        </w:rPr>
        <w:t>曹禕中</w:t>
      </w:r>
      <w:r>
        <w:rPr>
          <w:rFonts w:eastAsia="標楷體"/>
        </w:rPr>
        <w:t>、</w:t>
      </w:r>
      <w:r>
        <w:rPr>
          <w:rFonts w:hint="eastAsia" w:eastAsia="標楷體"/>
        </w:rPr>
        <w:t>張柏豐</w:t>
      </w:r>
    </w:p>
    <w:p>
      <w:pPr>
        <w:spacing w:line="360" w:lineRule="auto"/>
        <w:jc w:val="right"/>
        <w:rPr>
          <w:rFonts w:eastAsia="標楷體"/>
        </w:rPr>
      </w:pPr>
      <w:r>
        <w:rPr>
          <w:rFonts w:eastAsia="標楷體"/>
        </w:rPr>
        <w:t>指導教授：</w:t>
      </w:r>
      <w:r>
        <w:rPr>
          <w:rFonts w:hint="eastAsia" w:eastAsia="標楷體"/>
        </w:rPr>
        <w:t>陳中平</w:t>
      </w:r>
      <w:r>
        <w:rPr>
          <w:rFonts w:eastAsia="標楷體"/>
        </w:rPr>
        <w:t>教授</w:t>
      </w:r>
    </w:p>
    <w:p>
      <w:pPr>
        <w:spacing w:line="360" w:lineRule="auto"/>
        <w:jc w:val="right"/>
        <w:rPr>
          <w:rFonts w:hint="eastAsia" w:eastAsia="標楷體"/>
        </w:rPr>
      </w:pPr>
      <w:r>
        <w:rPr>
          <w:rFonts w:eastAsia="標楷體"/>
        </w:rPr>
        <w:t>助教：</w:t>
      </w:r>
      <w:r>
        <w:rPr>
          <w:rFonts w:hint="eastAsia" w:eastAsia="標楷體"/>
        </w:rPr>
        <w:t>吳思穎助教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摘要</w:t>
      </w:r>
    </w:p>
    <w:p>
      <w:pPr>
        <w:widowControl/>
        <w:suppressAutoHyphens w:val="0"/>
        <w:autoSpaceDN/>
        <w:spacing w:line="360" w:lineRule="auto"/>
        <w:textAlignment w:val="auto"/>
        <w:rPr>
          <w:rFonts w:hint="eastAsia" w:eastAsia="標楷體"/>
          <w:szCs w:val="20"/>
        </w:rPr>
      </w:pPr>
      <w:r>
        <w:rPr>
          <w:rFonts w:hint="eastAsia" w:eastAsia="標楷體"/>
          <w:szCs w:val="20"/>
        </w:rPr>
        <w:tab/>
      </w:r>
      <w:r>
        <w:rPr>
          <w:rFonts w:hint="eastAsia" w:eastAsia="標楷體"/>
          <w:szCs w:val="20"/>
        </w:rPr>
        <w:tab/>
      </w:r>
      <w:r>
        <w:rPr>
          <w:rFonts w:hint="eastAsia" w:eastAsia="標楷體"/>
          <w:szCs w:val="20"/>
        </w:rPr>
        <w:t>由於已有大量文獻探討影像辨識的模型，但同樣重要的預處理對模型泛化的影響，卻不見擁有同樣人氣。因此我們以Cifar10著手進行訓練並探討不同預處理函式的配置對模型泛化能力的影響。我們以五種不同的預處理函式對模型進行訓練，測試其對不同於Cifar10的資料集的正確率，並希望由此了解可以預處理對超深型圖像辨識模型泛化</w:t>
      </w:r>
      <w:r>
        <w:rPr>
          <w:rFonts w:hint="eastAsia" w:eastAsia="標楷體"/>
          <w:szCs w:val="20"/>
          <w:lang w:eastAsia="zh-TW"/>
        </w:rPr>
        <w:t>能力</w:t>
      </w:r>
      <w:r>
        <w:rPr>
          <w:rFonts w:hint="eastAsia" w:eastAsia="標楷體"/>
          <w:szCs w:val="20"/>
        </w:rPr>
        <w:t>的影響。</w:t>
      </w:r>
    </w:p>
    <w:p>
      <w:pPr>
        <w:widowControl/>
        <w:suppressAutoHyphens w:val="0"/>
        <w:autoSpaceDN/>
        <w:spacing w:line="360" w:lineRule="auto"/>
        <w:textAlignment w:val="auto"/>
        <w:rPr>
          <w:rFonts w:hint="default" w:eastAsia="標楷體"/>
          <w:b/>
          <w:sz w:val="32"/>
          <w:lang w:val="en-US"/>
        </w:rPr>
      </w:pPr>
      <w:r>
        <w:rPr>
          <w:rFonts w:eastAsia="標楷體"/>
          <w:b/>
          <w:sz w:val="32"/>
        </w:rPr>
        <w:br w:type="page"/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壹、研究動機</w:t>
      </w:r>
    </w:p>
    <w:p>
      <w:pPr>
        <w:pStyle w:val="13"/>
        <w:spacing w:before="120" w:after="120" w:line="360" w:lineRule="auto"/>
        <w:ind w:leftChars="0" w:firstLine="511" w:firstLineChars="213"/>
        <w:jc w:val="both"/>
        <w:rPr>
          <w:rFonts w:hint="eastAsia" w:eastAsia="標楷體"/>
        </w:rPr>
      </w:pPr>
      <w:r>
        <w:rPr>
          <w:rFonts w:eastAsia="標楷體"/>
        </w:rPr>
        <w:t>本研究</w:t>
      </w:r>
      <w:r>
        <w:rPr>
          <w:rFonts w:hint="eastAsia" w:eastAsia="標楷體"/>
          <w:lang w:eastAsia="zh-TW"/>
        </w:rPr>
        <w:t>目的</w:t>
      </w:r>
      <w:r>
        <w:rPr>
          <w:rFonts w:hint="eastAsia" w:eastAsia="標楷體"/>
        </w:rPr>
        <w:t>是</w:t>
      </w:r>
      <w:r>
        <w:rPr>
          <w:rFonts w:hint="eastAsia" w:eastAsia="標楷體"/>
          <w:lang w:eastAsia="zh-TW"/>
        </w:rPr>
        <w:t>探討</w:t>
      </w:r>
      <w:r>
        <w:rPr>
          <w:rFonts w:hint="eastAsia" w:eastAsia="標楷體"/>
        </w:rPr>
        <w:t>不同的預處理</w:t>
      </w:r>
      <w:r>
        <w:rPr>
          <w:rFonts w:hint="eastAsia" w:eastAsia="標楷體"/>
          <w:lang w:eastAsia="zh-TW"/>
        </w:rPr>
        <w:t>對超深型圖像辨識模型泛化能力的影響</w:t>
      </w:r>
      <w:r>
        <w:rPr>
          <w:rFonts w:hint="eastAsia" w:eastAsia="標楷體"/>
        </w:rPr>
        <w:t>，在科技</w:t>
      </w:r>
      <w:r>
        <w:rPr>
          <w:rFonts w:hint="eastAsia" w:eastAsia="標楷體"/>
          <w:lang w:eastAsia="zh-TW"/>
        </w:rPr>
        <w:t>日新月異的進步</w:t>
      </w:r>
      <w:r>
        <w:rPr>
          <w:rFonts w:hint="eastAsia" w:eastAsia="標楷體"/>
        </w:rPr>
        <w:t>下，各種</w:t>
      </w:r>
      <w:r>
        <w:rPr>
          <w:rFonts w:hint="eastAsia" w:eastAsia="標楷體"/>
          <w:lang w:eastAsia="zh-TW"/>
        </w:rPr>
        <w:t>利用</w:t>
      </w:r>
      <w:r>
        <w:rPr>
          <w:rFonts w:hint="eastAsia" w:eastAsia="標楷體"/>
        </w:rPr>
        <w:t>深度學習辨識圖片</w:t>
      </w:r>
      <w:r>
        <w:rPr>
          <w:rFonts w:hint="eastAsia" w:eastAsia="標楷體"/>
          <w:lang w:eastAsia="zh-TW"/>
        </w:rPr>
        <w:t>的研究</w:t>
      </w:r>
      <w:r>
        <w:rPr>
          <w:rFonts w:hint="eastAsia" w:eastAsia="標楷體"/>
        </w:rPr>
        <w:t>比比皆是，利用深度學習辨識影像的</w:t>
      </w:r>
      <w:r>
        <w:rPr>
          <w:rFonts w:hint="eastAsia" w:eastAsia="標楷體"/>
          <w:lang w:eastAsia="zh-TW"/>
        </w:rPr>
        <w:t>範例已不勝枚舉</w:t>
      </w:r>
      <w:r>
        <w:rPr>
          <w:rFonts w:hint="eastAsia" w:eastAsia="標楷體"/>
        </w:rPr>
        <w:t>。</w:t>
      </w:r>
      <w:r>
        <w:rPr>
          <w:rFonts w:hint="eastAsia" w:eastAsia="標楷體"/>
          <w:lang w:eastAsia="zh-TW"/>
        </w:rPr>
        <w:t>而</w:t>
      </w:r>
      <w:r>
        <w:rPr>
          <w:rFonts w:hint="eastAsia" w:eastAsia="標楷體"/>
        </w:rPr>
        <w:t>每次訓練的資料</w:t>
      </w:r>
      <w:r>
        <w:rPr>
          <w:rFonts w:hint="eastAsia" w:eastAsia="標楷體"/>
          <w:lang w:eastAsia="zh-TW"/>
        </w:rPr>
        <w:t>若是不經處理，可能使得圖片特徵不利擷取，或是資料集數目過少</w:t>
      </w:r>
      <w:r>
        <w:rPr>
          <w:rFonts w:hint="eastAsia" w:eastAsia="標楷體"/>
        </w:rPr>
        <w:t>，因此通常需要在</w:t>
      </w:r>
      <w:r>
        <w:rPr>
          <w:rFonts w:hint="eastAsia" w:eastAsia="標楷體"/>
          <w:lang w:eastAsia="zh-TW"/>
        </w:rPr>
        <w:t>訓練</w:t>
      </w:r>
      <w:r>
        <w:rPr>
          <w:rFonts w:hint="eastAsia" w:eastAsia="標楷體"/>
        </w:rPr>
        <w:t>前對</w:t>
      </w:r>
      <w:r>
        <w:rPr>
          <w:rFonts w:hint="eastAsia" w:eastAsia="標楷體"/>
          <w:lang w:eastAsia="zh-TW"/>
        </w:rPr>
        <w:t>圖片</w:t>
      </w:r>
      <w:r>
        <w:rPr>
          <w:rFonts w:hint="eastAsia" w:eastAsia="標楷體"/>
        </w:rPr>
        <w:t>作</w:t>
      </w:r>
      <w:r>
        <w:rPr>
          <w:rFonts w:hint="eastAsia" w:eastAsia="標楷體"/>
          <w:lang w:eastAsia="zh-TW"/>
        </w:rPr>
        <w:t>預</w:t>
      </w:r>
      <w:r>
        <w:rPr>
          <w:rFonts w:hint="eastAsia" w:eastAsia="標楷體"/>
        </w:rPr>
        <w:t>處理，方便</w:t>
      </w:r>
      <w:r>
        <w:rPr>
          <w:rFonts w:hint="eastAsia" w:eastAsia="標楷體"/>
          <w:lang w:eastAsia="zh-TW"/>
        </w:rPr>
        <w:t>模型</w:t>
      </w:r>
      <w:r>
        <w:rPr>
          <w:rFonts w:hint="eastAsia" w:eastAsia="標楷體"/>
        </w:rPr>
        <w:t>學習、辨識</w:t>
      </w:r>
      <w:r>
        <w:rPr>
          <w:rFonts w:hint="eastAsia" w:eastAsia="標楷體"/>
          <w:lang w:eastAsia="zh-TW"/>
        </w:rPr>
        <w:t>。而泛化能力亦是考量模型實用程度之一大指標</w:t>
      </w:r>
      <w:r>
        <w:rPr>
          <w:rFonts w:hint="eastAsia" w:eastAsia="標楷體"/>
        </w:rPr>
        <w:t>，因此我們將目的轉移</w:t>
      </w:r>
      <w:r>
        <w:rPr>
          <w:rFonts w:hint="eastAsia" w:eastAsia="標楷體"/>
          <w:lang w:eastAsia="zh-TW"/>
        </w:rPr>
        <w:t>為</w:t>
      </w:r>
      <w:r>
        <w:rPr>
          <w:rFonts w:hint="eastAsia" w:eastAsia="標楷體"/>
        </w:rPr>
        <w:t>更原始的「預處理</w:t>
      </w:r>
      <w:r>
        <w:rPr>
          <w:rFonts w:hint="eastAsia" w:eastAsia="標楷體"/>
          <w:lang w:eastAsia="zh-TW"/>
        </w:rPr>
        <w:t>對超深型圖像辨識模型泛化能力的影響</w:t>
      </w:r>
      <w:r>
        <w:rPr>
          <w:rFonts w:hint="eastAsia" w:eastAsia="標楷體"/>
        </w:rPr>
        <w:t>」</w:t>
      </w:r>
      <w:r>
        <w:rPr>
          <w:rFonts w:hint="eastAsia" w:eastAsia="標楷體"/>
          <w:lang w:eastAsia="zh-TW"/>
        </w:rPr>
        <w:t>。</w:t>
      </w:r>
      <w:r>
        <w:rPr>
          <w:rFonts w:hint="eastAsia" w:eastAsia="標楷體"/>
        </w:rPr>
        <w:t>我們選擇</w:t>
      </w:r>
      <w:r>
        <w:rPr>
          <w:rFonts w:hint="eastAsia" w:eastAsia="標楷體"/>
          <w:lang w:val="en-US" w:eastAsia="zh-TW"/>
        </w:rPr>
        <w:t>C</w:t>
      </w:r>
      <w:r>
        <w:rPr>
          <w:rFonts w:hint="eastAsia" w:eastAsia="標楷體"/>
        </w:rPr>
        <w:t>ifar10作為我們的資料</w:t>
      </w:r>
      <w:r>
        <w:rPr>
          <w:rFonts w:hint="eastAsia" w:eastAsia="標楷體"/>
          <w:lang w:eastAsia="zh-TW"/>
        </w:rPr>
        <w:t>集</w:t>
      </w:r>
      <w:r>
        <w:rPr>
          <w:rFonts w:hint="eastAsia" w:eastAsia="標楷體"/>
        </w:rPr>
        <w:t>，</w:t>
      </w:r>
      <w:r>
        <w:rPr>
          <w:rFonts w:hint="eastAsia" w:eastAsia="標楷體"/>
          <w:lang w:eastAsia="zh-TW"/>
        </w:rPr>
        <w:t>並且</w:t>
      </w:r>
      <w:r>
        <w:rPr>
          <w:rFonts w:hint="eastAsia" w:eastAsia="標楷體"/>
        </w:rPr>
        <w:t>研究在幾種不同種類的預處理下，能對模型的</w:t>
      </w:r>
      <w:r>
        <w:rPr>
          <w:rFonts w:hint="eastAsia" w:eastAsia="標楷體"/>
          <w:lang w:eastAsia="zh-TW"/>
        </w:rPr>
        <w:t>泛化能力</w:t>
      </w:r>
      <w:r>
        <w:rPr>
          <w:rFonts w:hint="eastAsia" w:eastAsia="標楷體"/>
        </w:rPr>
        <w:t>提升多少</w:t>
      </w:r>
      <w:r>
        <w:rPr>
          <w:rFonts w:hint="eastAsia" w:eastAsia="標楷體"/>
          <w:lang w:eastAsia="zh-TW"/>
        </w:rPr>
        <w:t>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貳、研究目的</w:t>
      </w:r>
    </w:p>
    <w:p>
      <w:pPr>
        <w:widowControl/>
        <w:spacing w:line="360" w:lineRule="auto"/>
        <w:ind w:left="142" w:leftChars="59" w:firstLine="480"/>
        <w:rPr>
          <w:rFonts w:eastAsia="標楷體"/>
          <w:b/>
          <w:sz w:val="32"/>
        </w:rPr>
      </w:pPr>
      <w:r>
        <w:rPr>
          <w:rFonts w:hint="eastAsia" w:eastAsia="標楷體"/>
          <w:lang w:eastAsia="zh-TW"/>
        </w:rPr>
        <w:t>探討</w:t>
      </w:r>
      <w:r>
        <w:rPr>
          <w:rFonts w:hint="eastAsia" w:eastAsia="標楷體"/>
        </w:rPr>
        <w:t>訓練時預處理函式的不同對模型泛化</w:t>
      </w:r>
      <w:r>
        <w:rPr>
          <w:rFonts w:hint="eastAsia" w:eastAsia="標楷體"/>
          <w:lang w:eastAsia="zh-TW"/>
        </w:rPr>
        <w:t>能力</w:t>
      </w:r>
      <w:r>
        <w:rPr>
          <w:rFonts w:hint="eastAsia" w:eastAsia="標楷體"/>
        </w:rPr>
        <w:t>的影響。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參、研究設備及器材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/>
        </w:rPr>
        <w:t>一</w:t>
      </w:r>
      <w:r>
        <w:rPr>
          <w:rFonts w:hint="eastAsia" w:eastAsia="標楷體"/>
        </w:rPr>
        <w:t>、訓練資料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（一）、</w:t>
      </w:r>
      <w:r>
        <w:rPr>
          <w:rFonts w:eastAsia="標楷體"/>
        </w:rPr>
        <w:t>cifar10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為訓練模型的主體，即改變預處理的對象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二、顯卡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（一）、G</w:t>
      </w:r>
      <w:r>
        <w:rPr>
          <w:rFonts w:eastAsia="標楷體"/>
        </w:rPr>
        <w:t xml:space="preserve">eForce </w:t>
      </w:r>
      <w:r>
        <w:rPr>
          <w:rFonts w:hint="eastAsia" w:eastAsia="標楷體"/>
        </w:rPr>
        <w:t>R</w:t>
      </w:r>
      <w:r>
        <w:rPr>
          <w:rFonts w:eastAsia="標楷體"/>
        </w:rPr>
        <w:t>TX 2070</w:t>
      </w:r>
    </w:p>
    <w:p>
      <w:pPr>
        <w:widowControl/>
        <w:spacing w:line="360" w:lineRule="auto"/>
        <w:ind w:left="142" w:leftChars="59" w:firstLine="480"/>
        <w:rPr>
          <w:rFonts w:eastAsia="標楷體"/>
        </w:rPr>
      </w:pPr>
      <w:r>
        <w:rPr>
          <w:rFonts w:hint="eastAsia" w:eastAsia="標楷體"/>
        </w:rPr>
        <w:t>四、開發環境</w:t>
      </w:r>
    </w:p>
    <w:p>
      <w:pPr>
        <w:widowControl/>
        <w:spacing w:line="360" w:lineRule="auto"/>
        <w:ind w:left="142" w:leftChars="59" w:firstLine="480"/>
        <w:rPr>
          <w:rFonts w:hint="default" w:eastAsia="標楷體"/>
          <w:lang w:val="en-US" w:eastAsia="zh-TW"/>
        </w:rPr>
      </w:pPr>
      <w:r>
        <w:rPr>
          <w:rFonts w:hint="eastAsia" w:eastAsia="標楷體"/>
        </w:rPr>
        <w:t>（</w:t>
      </w:r>
      <w:r>
        <w:rPr>
          <w:rFonts w:hint="eastAsia" w:eastAsia="標楷體"/>
          <w:lang w:eastAsia="zh-TW"/>
        </w:rPr>
        <w:t>一</w:t>
      </w:r>
      <w:r>
        <w:rPr>
          <w:rFonts w:hint="eastAsia" w:eastAsia="標楷體"/>
        </w:rPr>
        <w:t>）、</w:t>
      </w:r>
      <w:r>
        <w:rPr>
          <w:rFonts w:eastAsia="標楷體"/>
        </w:rPr>
        <w:t>Jupyter Lab</w:t>
      </w:r>
      <w:r>
        <w:rPr>
          <w:rFonts w:hint="eastAsia" w:eastAsia="標楷體"/>
          <w:lang w:eastAsia="zh-TW"/>
        </w:rPr>
        <w:t>、</w:t>
      </w:r>
      <w:r>
        <w:rPr>
          <w:rFonts w:hint="default" w:eastAsia="標楷體"/>
          <w:lang w:val="en-US" w:eastAsia="zh-TW"/>
        </w:rPr>
        <w:t>Keras</w:t>
      </w:r>
    </w:p>
    <w:p>
      <w:pPr>
        <w:widowControl/>
        <w:spacing w:line="360" w:lineRule="auto"/>
        <w:ind w:left="566" w:leftChars="236" w:firstLine="480"/>
        <w:rPr>
          <w:rFonts w:hint="eastAsia" w:eastAsia="標楷體"/>
        </w:rPr>
      </w:pPr>
      <w:r>
        <w:rPr>
          <w:rFonts w:hint="eastAsia" w:eastAsia="標楷體"/>
        </w:rPr>
        <w:t>本研究使用的開發環境為自架的Jupyter Lab，並且搭配一張RTX2070顯示卡，因為有圖像輸出的介面</w:t>
      </w:r>
      <w:r>
        <w:rPr>
          <w:rFonts w:hint="eastAsia" w:eastAsia="標楷體"/>
          <w:lang w:eastAsia="zh-TW"/>
        </w:rPr>
        <w:t>，方便圖表等數據的即時展現</w:t>
      </w:r>
      <w:r>
        <w:rPr>
          <w:rFonts w:hint="eastAsia" w:eastAsia="標楷體"/>
        </w:rPr>
        <w:t>，且便於操控進程，對開發人工智慧十分友善。</w:t>
      </w:r>
    </w:p>
    <w:p>
      <w:pPr>
        <w:rPr>
          <w:rFonts w:hint="eastAsia" w:eastAsia="標楷體"/>
        </w:rPr>
      </w:pPr>
      <w:r>
        <w:rPr>
          <w:rFonts w:hint="eastAsia" w:eastAsia="標楷體"/>
        </w:rPr>
        <w:br w:type="page"/>
      </w:r>
    </w:p>
    <w:p>
      <w:pPr>
        <w:widowControl/>
        <w:spacing w:line="360" w:lineRule="auto"/>
        <w:ind w:left="566" w:leftChars="236" w:firstLine="480"/>
        <w:rPr>
          <w:rFonts w:hint="eastAsia" w:eastAsia="標楷體"/>
        </w:rPr>
      </w:pPr>
    </w:p>
    <w:p>
      <w:pPr>
        <w:widowControl/>
        <w:suppressAutoHyphens w:val="0"/>
        <w:autoSpaceDN/>
        <w:spacing w:before="240" w:line="360" w:lineRule="auto"/>
        <w:jc w:val="center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肆、研究過程或方法</w:t>
      </w:r>
    </w:p>
    <w:p>
      <w:pPr>
        <w:widowControl/>
        <w:suppressAutoHyphens w:val="0"/>
        <w:autoSpaceDN/>
        <w:spacing w:before="240" w:line="360" w:lineRule="auto"/>
        <w:jc w:val="center"/>
        <w:textAlignment w:val="auto"/>
        <w:rPr>
          <w:rFonts w:hint="eastAsia" w:eastAsia="標楷體"/>
          <w:b/>
          <w:sz w:val="32"/>
        </w:rPr>
      </w:pPr>
      <w:r>
        <w:rPr>
          <w:rFonts w:hint="eastAsia"/>
        </w:rPr>
        <w:drawing>
          <wp:inline distT="0" distB="0" distL="0" distR="0">
            <wp:extent cx="5270500" cy="12706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8"/>
        <w:numPr>
          <w:ilvl w:val="0"/>
          <w:numId w:val="1"/>
        </w:numPr>
        <w:spacing w:before="180" w:after="180" w:line="360" w:lineRule="auto"/>
        <w:ind w:leftChars="0"/>
        <w:jc w:val="both"/>
        <w:rPr>
          <w:rFonts w:eastAsia="標楷體"/>
        </w:rPr>
      </w:pPr>
      <w:r>
        <w:rPr>
          <w:rFonts w:hint="eastAsia" w:eastAsia="標楷體"/>
        </w:rPr>
        <w:t>建立適合的影像處理模型</w:t>
      </w:r>
    </w:p>
    <w:p>
      <w:pPr>
        <w:pStyle w:val="28"/>
        <w:spacing w:before="180" w:after="180" w:line="360" w:lineRule="auto"/>
        <w:ind w:left="1200" w:leftChars="0"/>
        <w:jc w:val="both"/>
        <w:rPr>
          <w:rFonts w:hint="eastAsia" w:eastAsia="標楷體"/>
        </w:rPr>
      </w:pPr>
      <w:r>
        <w:rPr>
          <w:rFonts w:hint="eastAsia" w:eastAsia="標楷體"/>
        </w:rPr>
        <w:t>　　我們使用</w:t>
      </w:r>
      <w:r>
        <w:rPr>
          <w:rFonts w:eastAsia="標楷體"/>
        </w:rPr>
        <w:t>Keras</w:t>
      </w:r>
      <w:r>
        <w:rPr>
          <w:rFonts w:hint="eastAsia" w:eastAsia="標楷體"/>
        </w:rPr>
        <w:t>建立並且訓練模型，使用的模型以</w:t>
      </w:r>
      <w:r>
        <w:rPr>
          <w:rFonts w:eastAsia="標楷體"/>
        </w:rPr>
        <w:t>VGG-16</w:t>
      </w:r>
      <w:r>
        <w:rPr>
          <w:rFonts w:hint="eastAsia" w:eastAsia="標楷體"/>
        </w:rPr>
        <w:t>為基礎，在針對我們的需求作更進一步的修改。同時，由於C</w:t>
      </w:r>
      <w:r>
        <w:rPr>
          <w:rFonts w:eastAsia="標楷體"/>
        </w:rPr>
        <w:t>ifar10</w:t>
      </w:r>
      <w:r>
        <w:rPr>
          <w:rFonts w:hint="eastAsia" w:eastAsia="標楷體"/>
        </w:rPr>
        <w:t>的資料比較小（</w:t>
      </w:r>
      <w:r>
        <w:rPr>
          <w:rFonts w:eastAsia="標楷體"/>
        </w:rPr>
        <w:t>32</w:t>
      </w:r>
      <w:r>
        <w:rPr>
          <w:rFonts w:hint="eastAsia" w:eastAsia="標楷體"/>
        </w:rPr>
        <w:t>×</w:t>
      </w:r>
      <w:r>
        <w:rPr>
          <w:rFonts w:eastAsia="標楷體"/>
        </w:rPr>
        <w:t>32</w:t>
      </w:r>
      <w:r>
        <w:rPr>
          <w:rFonts w:hint="eastAsia" w:eastAsia="標楷體"/>
        </w:rPr>
        <w:t>像素），但是</w:t>
      </w:r>
      <w:r>
        <w:rPr>
          <w:rFonts w:eastAsia="標楷體"/>
        </w:rPr>
        <w:t>VGG-16</w:t>
      </w:r>
      <w:r>
        <w:rPr>
          <w:rFonts w:hint="eastAsia" w:eastAsia="標楷體"/>
        </w:rPr>
        <w:t>是設計給</w:t>
      </w:r>
      <w:r>
        <w:rPr>
          <w:rFonts w:eastAsia="標楷體"/>
        </w:rPr>
        <w:t>224</w:t>
      </w:r>
      <w:r>
        <w:rPr>
          <w:rFonts w:hint="eastAsia" w:eastAsia="標楷體"/>
        </w:rPr>
        <w:t>×</w:t>
      </w:r>
      <w:r>
        <w:rPr>
          <w:rFonts w:eastAsia="標楷體"/>
        </w:rPr>
        <w:t>224</w:t>
      </w:r>
      <w:r>
        <w:rPr>
          <w:rFonts w:hint="eastAsia" w:eastAsia="標楷體"/>
        </w:rPr>
        <w:t>像素的圖片，為了使模型能更有效率的學習，我們降低了每個卷積層</w:t>
      </w:r>
      <w:r>
        <w:rPr>
          <w:rFonts w:eastAsia="標楷體"/>
        </w:rPr>
        <w:t>Kernal</w:t>
      </w:r>
      <w:r>
        <w:rPr>
          <w:rFonts w:hint="eastAsia" w:eastAsia="標楷體"/>
        </w:rPr>
        <w:t>的數量，也減少了最後兩層全連接層神經元的數量。</w:t>
      </w:r>
    </w:p>
    <w:p>
      <w:pPr>
        <w:pStyle w:val="28"/>
        <w:numPr>
          <w:ilvl w:val="0"/>
          <w:numId w:val="1"/>
        </w:numPr>
        <w:spacing w:before="180" w:after="180" w:line="360" w:lineRule="auto"/>
        <w:ind w:leftChars="0"/>
        <w:jc w:val="both"/>
        <w:rPr>
          <w:rFonts w:eastAsia="標楷體"/>
        </w:rPr>
      </w:pPr>
      <w:r>
        <w:rPr>
          <w:rFonts w:hint="eastAsia" w:eastAsia="標楷體"/>
        </w:rPr>
        <w:t>預處理結果測試</w:t>
      </w:r>
      <w:r>
        <w:rPr>
          <w:rFonts w:hint="default" w:eastAsia="標楷體"/>
          <w:lang w:val="en-US"/>
        </w:rPr>
        <w:t xml:space="preserve"> </w:t>
      </w:r>
    </w:p>
    <w:p>
      <w:pPr>
        <w:pStyle w:val="13"/>
        <w:spacing w:before="180" w:after="180" w:line="360" w:lineRule="auto"/>
        <w:ind w:left="1133" w:leftChars="472" w:firstLine="566" w:firstLineChars="236"/>
        <w:rPr>
          <w:rFonts w:eastAsia="標楷體"/>
        </w:rPr>
      </w:pPr>
      <w:r>
        <w:rPr>
          <w:rFonts w:hint="eastAsia" w:eastAsia="標楷體"/>
        </w:rPr>
        <w:t>我們</w:t>
      </w:r>
      <w:r>
        <w:rPr>
          <w:rFonts w:hint="eastAsia" w:eastAsia="標楷體"/>
          <w:lang w:eastAsia="zh-TW"/>
        </w:rPr>
        <w:t>分別測試兩種類型的預處理對驗證集正確率和</w:t>
      </w:r>
      <w:r>
        <w:rPr>
          <w:rFonts w:hint="default" w:eastAsia="標楷體"/>
          <w:lang w:val="en-US" w:eastAsia="zh-TW"/>
        </w:rPr>
        <w:t>loss</w:t>
      </w:r>
      <w:r>
        <w:rPr>
          <w:rFonts w:hint="eastAsia" w:eastAsia="標楷體"/>
          <w:lang w:val="en-US" w:eastAsia="zh-TW"/>
        </w:rPr>
        <w:t>的影響，分別是統一，和加入雜訊這兩種策略。</w:t>
      </w:r>
    </w:p>
    <w:p>
      <w:pPr>
        <w:spacing w:before="180" w:after="180" w:line="360" w:lineRule="auto"/>
        <w:ind w:left="1133" w:leftChars="472"/>
        <w:rPr>
          <w:rFonts w:hint="eastAsia" w:eastAsia="標楷體"/>
          <w:lang w:eastAsia="zh-TW"/>
        </w:rPr>
      </w:pPr>
      <w:r>
        <w:rPr>
          <w:rFonts w:hint="eastAsia" w:eastAsia="標楷體"/>
        </w:rPr>
        <w:t>第一類：</w:t>
      </w:r>
      <w:r>
        <w:rPr>
          <w:rFonts w:hint="eastAsia" w:eastAsia="標楷體"/>
          <w:lang w:eastAsia="zh-TW"/>
        </w:rPr>
        <w:t>統一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只改變原始資料的單一項目，而我們選擇的項目有兩項，分別是：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（一）、統一亮度</w:t>
      </w:r>
    </w:p>
    <w:p>
      <w:pPr>
        <w:pStyle w:val="13"/>
        <w:spacing w:before="180" w:after="180" w:line="360" w:lineRule="auto"/>
        <w:ind w:left="2410" w:leftChars="1004" w:firstLine="424" w:firstLineChars="177"/>
        <w:rPr>
          <w:rFonts w:eastAsia="標楷體"/>
        </w:rPr>
      </w:pPr>
      <w:r>
        <w:rPr>
          <w:rFonts w:hint="eastAsia" w:eastAsia="標楷體"/>
        </w:rPr>
        <w:t>將所有的照片亮度統一成一半的亮度值。</w:t>
      </w:r>
    </w:p>
    <w:p>
      <w:pPr>
        <w:spacing w:before="180" w:after="180" w:line="360" w:lineRule="auto"/>
        <w:ind w:left="2126" w:leftChars="886"/>
        <w:rPr>
          <w:rFonts w:eastAsia="標楷體"/>
        </w:rPr>
      </w:pPr>
      <w:r>
        <w:rPr>
          <w:rFonts w:hint="eastAsia" w:eastAsia="標楷體"/>
        </w:rPr>
        <w:t>（二）、統一對比度</w:t>
      </w:r>
    </w:p>
    <w:p>
      <w:pPr>
        <w:widowControl/>
        <w:suppressAutoHyphens w:val="0"/>
        <w:autoSpaceDN/>
        <w:spacing w:line="360" w:lineRule="auto"/>
        <w:ind w:left="2834" w:leftChars="1181"/>
        <w:jc w:val="both"/>
        <w:textAlignment w:val="auto"/>
        <w:rPr>
          <w:rFonts w:hint="eastAsia" w:eastAsia="標楷體"/>
        </w:rPr>
      </w:pPr>
      <w:r>
        <w:rPr>
          <w:rFonts w:hint="eastAsia" w:eastAsia="標楷體"/>
        </w:rPr>
        <w:t>將每張照片的對比度統一設定為-</w:t>
      </w:r>
      <w:r>
        <w:rPr>
          <w:rFonts w:eastAsia="標楷體"/>
        </w:rPr>
        <w:t>1</w:t>
      </w:r>
      <w:r>
        <w:rPr>
          <w:rFonts w:hint="eastAsia" w:eastAsia="標楷體"/>
        </w:rPr>
        <w:t>到1之間。</w:t>
      </w:r>
    </w:p>
    <w:p>
      <w:pPr>
        <w:widowControl/>
        <w:suppressAutoHyphens w:val="0"/>
        <w:autoSpaceDN/>
        <w:spacing w:line="360" w:lineRule="auto"/>
        <w:jc w:val="both"/>
        <w:textAlignment w:val="auto"/>
        <w:rPr>
          <w:rFonts w:hint="eastAsia" w:eastAsia="標楷體"/>
        </w:rPr>
      </w:pPr>
    </w:p>
    <w:p>
      <w:pPr>
        <w:spacing w:before="180" w:after="180" w:line="360" w:lineRule="auto"/>
        <w:ind w:left="1133" w:leftChars="472" w:firstLine="1"/>
        <w:rPr>
          <w:rFonts w:hint="eastAsia" w:eastAsia="標楷體"/>
          <w:lang w:val="en-US" w:eastAsia="zh-TW"/>
        </w:rPr>
      </w:pPr>
      <w:r>
        <w:rPr>
          <w:rFonts w:hint="eastAsia" w:eastAsia="標楷體"/>
        </w:rPr>
        <w:t>第二類：</w:t>
      </w:r>
      <w:r>
        <w:rPr>
          <w:rFonts w:hint="eastAsia" w:eastAsia="標楷體"/>
          <w:lang w:eastAsia="zh-TW"/>
        </w:rPr>
        <w:t>加入雜訊</w:t>
      </w:r>
      <w:r>
        <w:rPr>
          <w:rFonts w:hint="eastAsia" w:eastAsia="標楷體"/>
          <w:lang w:val="en-US" w:eastAsia="zh-TW"/>
        </w:rPr>
        <w:t>（</w:t>
      </w:r>
      <w:r>
        <w:rPr>
          <w:rFonts w:hint="eastAsia" w:eastAsia="標楷體"/>
        </w:rPr>
        <w:t>綜合項目的變化</w:t>
      </w:r>
      <w:r>
        <w:rPr>
          <w:rFonts w:hint="eastAsia" w:eastAsia="標楷體"/>
          <w:lang w:val="en-US" w:eastAsia="zh-TW"/>
        </w:rPr>
        <w:t>）</w:t>
      </w:r>
    </w:p>
    <w:p>
      <w:pPr>
        <w:spacing w:before="180" w:after="180" w:line="360" w:lineRule="auto"/>
        <w:ind w:left="2126" w:leftChars="886" w:firstLine="1"/>
        <w:rPr>
          <w:rFonts w:eastAsia="標楷體"/>
        </w:rPr>
      </w:pPr>
      <w:r>
        <w:rPr>
          <w:rFonts w:hint="eastAsia" w:eastAsia="標楷體"/>
        </w:rPr>
        <w:t>同時改變原始資料的不同項目，並且我們對不同程度的預處理函數進行級。共分三級，排序由影響最小到最大。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、第一級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不做任何修改。</w:t>
      </w:r>
      <w:r>
        <w:rPr>
          <w:rFonts w:hint="eastAsia" w:eastAsia="標楷體"/>
        </w:rPr>
        <w:br w:type="textWrapping"/>
      </w: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304800" cy="304800"/>
            <wp:effectExtent l="0" t="0" r="0" b="0"/>
            <wp:docPr id="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這是一隻青蛙。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、第二級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最多寬度縮放5%，高度縮放5%，銳利化邊緣5%，縮放5%，色調轉換10%。</w:t>
      </w:r>
    </w:p>
    <w:p>
      <w:pPr>
        <w:spacing w:before="180" w:after="180" w:line="360" w:lineRule="auto"/>
        <w:ind w:left="2977"/>
        <w:jc w:val="both"/>
        <w:rPr>
          <w:rFonts w:eastAsia="標楷體"/>
        </w:rPr>
      </w:pP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294005" cy="295910"/>
            <wp:effectExtent l="0" t="0" r="10795" b="8890"/>
            <wp:docPr id="1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，這是一架飛機。</w:t>
      </w:r>
    </w:p>
    <w:p>
      <w:pPr>
        <w:numPr>
          <w:ilvl w:val="0"/>
          <w:numId w:val="2"/>
        </w:numPr>
        <w:spacing w:before="180" w:after="180" w:line="360" w:lineRule="auto"/>
        <w:ind w:left="1985"/>
        <w:jc w:val="both"/>
        <w:rPr>
          <w:rFonts w:eastAsia="標楷體"/>
        </w:rPr>
      </w:pPr>
      <w:r>
        <w:rPr>
          <w:rFonts w:hint="eastAsia" w:eastAsia="標楷體"/>
        </w:rPr>
        <w:t>、第三級</w:t>
      </w:r>
    </w:p>
    <w:p>
      <w:pPr>
        <w:spacing w:before="180" w:after="180" w:line="360" w:lineRule="auto"/>
        <w:ind w:left="2976" w:leftChars="1240"/>
        <w:jc w:val="both"/>
        <w:rPr>
          <w:rFonts w:eastAsia="標楷體"/>
        </w:rPr>
      </w:pPr>
      <w:r>
        <w:rPr>
          <w:rFonts w:hint="eastAsia" w:eastAsia="標楷體"/>
        </w:rPr>
        <w:t>對多旋轉45度，寬度縮放20%，高度縮放20%，銳利化邊緣20%，縮放20%，顏色可能完全轉換，有可能水平垂直翻轉。</w:t>
      </w:r>
      <w:r>
        <w:rPr>
          <w:rFonts w:hint="eastAsia" w:eastAsia="標楷體"/>
        </w:rPr>
        <w:br w:type="textWrapping"/>
      </w:r>
      <w:r>
        <w:rPr>
          <w:rFonts w:hint="eastAsia" w:eastAsia="標楷體"/>
        </w:rPr>
        <w:t>示例圖：</w:t>
      </w:r>
      <w:r>
        <w:rPr>
          <w:rFonts w:eastAsia="標楷體"/>
        </w:rPr>
        <w:drawing>
          <wp:inline distT="0" distB="0" distL="114300" distR="114300">
            <wp:extent cx="266700" cy="266700"/>
            <wp:effectExtent l="0" t="0" r="0" b="0"/>
            <wp:docPr id="1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="標楷體"/>
        </w:rPr>
        <w:t>，這是一隻貓。</w:t>
      </w:r>
    </w:p>
    <w:p>
      <w:pPr>
        <w:widowControl/>
        <w:suppressAutoHyphens w:val="0"/>
        <w:autoSpaceDN/>
        <w:spacing w:line="360" w:lineRule="auto"/>
        <w:jc w:val="center"/>
        <w:textAlignment w:val="auto"/>
        <w:rPr>
          <w:rFonts w:eastAsia="標楷體"/>
          <w:b/>
          <w:sz w:val="32"/>
        </w:rPr>
      </w:pPr>
    </w:p>
    <w:p>
      <w:pPr>
        <w:widowControl/>
        <w:suppressAutoHyphens w:val="0"/>
        <w:autoSpaceDN/>
        <w:spacing w:line="360" w:lineRule="auto"/>
        <w:jc w:val="center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伍、研究結果與討論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一、</w:t>
      </w:r>
      <w:r>
        <w:rPr>
          <w:rFonts w:hint="eastAsia" w:eastAsia="標楷體"/>
          <w:lang w:eastAsia="zh-TW"/>
        </w:rPr>
        <w:t>統一策略</w:t>
      </w:r>
      <w:r>
        <w:rPr>
          <w:rFonts w:hint="eastAsia" w:eastAsia="標楷體"/>
        </w:rPr>
        <w:t>的亮度統一</w:t>
      </w:r>
      <w:r>
        <w:rPr>
          <w:rFonts w:hint="eastAsia" w:eastAsia="標楷體"/>
          <w:lang w:eastAsia="zh-TW"/>
        </w:rPr>
        <w:t>示範圖例</w:t>
      </w:r>
      <w:r>
        <w:rPr>
          <w:rFonts w:hint="eastAsia" w:eastAsia="標楷體"/>
        </w:rPr>
        <w:t>如下：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將亮度統一成</w:t>
      </w:r>
      <w:r>
        <w:rPr>
          <w:rFonts w:eastAsia="標楷體"/>
        </w:rPr>
        <w:t>50%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bookmarkStart w:id="0" w:name="_GoBack"/>
      <w:bookmarkEnd w:id="0"/>
      <w:r>
        <w:rPr>
          <w:rFonts w:hint="eastAsia" w:eastAsia="標楷體"/>
        </w:rPr>
        <w:t>照片成果對照結果如下：</w:t>
      </w:r>
    </w:p>
    <w:tbl>
      <w:tblPr>
        <w:tblStyle w:val="12"/>
        <w:tblW w:w="73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6"/>
        <w:gridCol w:w="3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0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48510" cy="2048510"/>
                  <wp:effectExtent l="0" t="0" r="0" b="0"/>
                  <wp:docPr id="70" name="圖片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圖片 7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79" cy="212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32000" cy="2032000"/>
                  <wp:effectExtent l="0" t="0" r="0" b="0"/>
                  <wp:docPr id="71" name="圖片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圖片 7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754" cy="2077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原始圖片</w:t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以下出現的圖表其橫軸的</w:t>
      </w:r>
      <w:r>
        <w:rPr>
          <w:rFonts w:eastAsia="標楷體"/>
        </w:rPr>
        <w:t>Epoch</w:t>
      </w:r>
      <w:r>
        <w:rPr>
          <w:rFonts w:hint="eastAsia" w:eastAsia="標楷體"/>
        </w:rPr>
        <w:t>為訓練次數，綜軸為</w:t>
      </w:r>
      <w:r>
        <w:rPr>
          <w:rFonts w:eastAsia="標楷體"/>
        </w:rPr>
        <w:t>Loss</w:t>
      </w:r>
      <w:r>
        <w:rPr>
          <w:rFonts w:hint="eastAsia" w:eastAsia="標楷體"/>
        </w:rPr>
        <w:t>值或</w:t>
      </w:r>
      <w:r>
        <w:rPr>
          <w:rFonts w:eastAsia="標楷體"/>
        </w:rPr>
        <w:t>Accuracy</w:t>
      </w:r>
      <w:r>
        <w:rPr>
          <w:rFonts w:hint="eastAsia" w:eastAsia="標楷體"/>
        </w:rPr>
        <w:t>（正確率），而V</w:t>
      </w:r>
      <w:r>
        <w:rPr>
          <w:rFonts w:eastAsia="標楷體"/>
        </w:rPr>
        <w:t>alidation</w:t>
      </w:r>
      <w:r>
        <w:rPr>
          <w:rFonts w:hint="eastAsia" w:eastAsia="標楷體"/>
        </w:rPr>
        <w:t>為驗證集，T</w:t>
      </w:r>
      <w:r>
        <w:rPr>
          <w:rFonts w:eastAsia="標楷體"/>
        </w:rPr>
        <w:t>rain</w:t>
      </w:r>
      <w:r>
        <w:rPr>
          <w:rFonts w:hint="eastAsia" w:eastAsia="標楷體"/>
        </w:rPr>
        <w:t>為訓練集。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以圖表呈現的損失函數以及正確率如下：</w:t>
      </w: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64740" cy="1726565"/>
                  <wp:effectExtent l="0" t="0" r="0" b="635"/>
                  <wp:docPr id="77" name="圖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圖片 7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6906" cy="17352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19350" cy="1721485"/>
                  <wp:effectExtent l="0" t="0" r="6350" b="5715"/>
                  <wp:docPr id="79" name="圖片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圖片 79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2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0414" cy="17291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原始損失函數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195195" cy="1558290"/>
                  <wp:effectExtent l="0" t="0" r="1905" b="3810"/>
                  <wp:docPr id="76" name="圖片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圖片 76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14" cy="156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79345" cy="1586230"/>
                  <wp:effectExtent l="0" t="0" r="0" b="1270"/>
                  <wp:docPr id="78" name="圖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圖片 78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原始正確率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亮度統一後</w:t>
            </w:r>
          </w:p>
        </w:tc>
      </w:tr>
    </w:tbl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0.7781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0.7723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增長幅度：-</w:t>
      </w:r>
      <w:r>
        <w:rPr>
          <w:rFonts w:eastAsia="標楷體"/>
        </w:rPr>
        <w:t>0.75%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</w:t>
      </w:r>
      <w:r>
        <w:rPr>
          <w:rFonts w:eastAsia="標楷體"/>
        </w:rPr>
        <w:t>Loss</w:t>
      </w:r>
      <w:r>
        <w:rPr>
          <w:rFonts w:hint="eastAsia" w:eastAsia="標楷體"/>
        </w:rPr>
        <w:t>：1</w:t>
      </w:r>
      <w:r>
        <w:rPr>
          <w:rFonts w:eastAsia="標楷體"/>
        </w:rPr>
        <w:t>.0229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</w:t>
      </w:r>
      <w:r>
        <w:rPr>
          <w:rFonts w:eastAsia="標楷體"/>
        </w:rPr>
        <w:t>Loss</w:t>
      </w:r>
      <w:r>
        <w:rPr>
          <w:rFonts w:hint="eastAsia" w:eastAsia="標楷體"/>
        </w:rPr>
        <w:t>：</w:t>
      </w:r>
      <w:r>
        <w:rPr>
          <w:rFonts w:eastAsia="標楷體"/>
        </w:rPr>
        <w:t>0.9591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</w:t>
      </w:r>
      <w:r>
        <w:rPr>
          <w:rFonts w:eastAsia="標楷體"/>
        </w:rPr>
        <w:t>-6.24%</w:t>
      </w: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二、</w:t>
      </w:r>
      <w:r>
        <w:rPr>
          <w:rFonts w:hint="eastAsia" w:eastAsia="標楷體"/>
          <w:lang w:eastAsia="zh-TW"/>
        </w:rPr>
        <w:t>統一策略</w:t>
      </w:r>
      <w:r>
        <w:rPr>
          <w:rFonts w:hint="eastAsia" w:eastAsia="標楷體"/>
        </w:rPr>
        <w:t>的</w:t>
      </w:r>
      <w:r>
        <w:rPr>
          <w:rFonts w:hint="eastAsia" w:eastAsia="標楷體"/>
          <w:lang w:eastAsia="zh-TW"/>
        </w:rPr>
        <w:t>對比度</w:t>
      </w:r>
      <w:r>
        <w:rPr>
          <w:rFonts w:hint="eastAsia" w:eastAsia="標楷體"/>
        </w:rPr>
        <w:t>統一</w:t>
      </w:r>
      <w:r>
        <w:rPr>
          <w:rFonts w:hint="eastAsia" w:eastAsia="標楷體"/>
          <w:lang w:eastAsia="zh-TW"/>
        </w:rPr>
        <w:t>示範圖例</w:t>
      </w:r>
      <w:r>
        <w:rPr>
          <w:rFonts w:hint="eastAsia" w:eastAsia="標楷體"/>
        </w:rPr>
        <w:t>如下：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將對比度的總平均調整為0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照片成果對照結果如下：</w:t>
      </w:r>
    </w:p>
    <w:tbl>
      <w:tblPr>
        <w:tblStyle w:val="12"/>
        <w:tblW w:w="738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76"/>
        <w:gridCol w:w="37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50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48510" cy="2048510"/>
                  <wp:effectExtent l="0" t="0" r="0" b="0"/>
                  <wp:docPr id="80" name="圖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圖片 80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679" cy="2121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023745" cy="2023745"/>
                  <wp:effectExtent l="0" t="0" r="0" b="0"/>
                  <wp:docPr id="86" name="圖片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圖片 86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5569" cy="20455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7" w:hRule="atLeast"/>
          <w:jc w:val="center"/>
        </w:trPr>
        <w:tc>
          <w:tcPr>
            <w:tcW w:w="367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原始圖片</w:t>
            </w:r>
          </w:p>
        </w:tc>
        <w:tc>
          <w:tcPr>
            <w:tcW w:w="370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rPr>
          <w:rFonts w:hint="eastAsia" w:eastAsia="標楷體"/>
        </w:rPr>
      </w:pPr>
      <w:r>
        <w:rPr>
          <w:rFonts w:hint="eastAsia" w:eastAsia="標楷體"/>
        </w:rPr>
        <w:br w:type="page"/>
      </w:r>
    </w:p>
    <w:p>
      <w:pPr>
        <w:spacing w:before="120" w:after="120" w:line="360" w:lineRule="auto"/>
        <w:ind w:firstLine="480" w:firstLineChars="0"/>
        <w:rPr>
          <w:rFonts w:eastAsia="標楷體"/>
        </w:rPr>
      </w:pPr>
      <w:r>
        <w:rPr>
          <w:rFonts w:hint="eastAsia" w:eastAsia="標楷體"/>
        </w:rPr>
        <w:t>以下出現的圖表其橫軸的</w:t>
      </w:r>
      <w:r>
        <w:rPr>
          <w:rFonts w:eastAsia="標楷體"/>
        </w:rPr>
        <w:t>Epoch</w:t>
      </w:r>
      <w:r>
        <w:rPr>
          <w:rFonts w:hint="eastAsia" w:eastAsia="標楷體"/>
        </w:rPr>
        <w:t>為訓練次數，綜軸為</w:t>
      </w:r>
      <w:r>
        <w:rPr>
          <w:rFonts w:eastAsia="標楷體"/>
        </w:rPr>
        <w:t>Loss</w:t>
      </w:r>
      <w:r>
        <w:rPr>
          <w:rFonts w:hint="eastAsia" w:eastAsia="標楷體"/>
        </w:rPr>
        <w:t>值或</w:t>
      </w:r>
      <w:r>
        <w:rPr>
          <w:rFonts w:eastAsia="標楷體"/>
        </w:rPr>
        <w:t>Accuracy</w:t>
      </w:r>
      <w:r>
        <w:rPr>
          <w:rFonts w:hint="eastAsia" w:eastAsia="標楷體"/>
        </w:rPr>
        <w:t>（正確率），而V</w:t>
      </w:r>
      <w:r>
        <w:rPr>
          <w:rFonts w:eastAsia="標楷體"/>
        </w:rPr>
        <w:t>alidation</w:t>
      </w:r>
      <w:r>
        <w:rPr>
          <w:rFonts w:hint="eastAsia" w:eastAsia="標楷體"/>
        </w:rPr>
        <w:t>為驗證集，T</w:t>
      </w:r>
      <w:r>
        <w:rPr>
          <w:rFonts w:eastAsia="標楷體"/>
        </w:rPr>
        <w:t>rain</w:t>
      </w:r>
      <w:r>
        <w:rPr>
          <w:rFonts w:hint="eastAsia" w:eastAsia="標楷體"/>
        </w:rPr>
        <w:t>為訓練集。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以圖表呈現的損失函數以及正確率如下：</w:t>
      </w:r>
    </w:p>
    <w:p>
      <w:pPr>
        <w:spacing w:before="120" w:after="120" w:line="360" w:lineRule="auto"/>
        <w:rPr>
          <w:rFonts w:eastAsia="標楷體"/>
        </w:rPr>
      </w:pPr>
    </w:p>
    <w:tbl>
      <w:tblPr>
        <w:tblStyle w:val="1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4"/>
        <w:gridCol w:w="39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51100" cy="1727200"/>
                  <wp:effectExtent l="0" t="0" r="0" b="0"/>
                  <wp:docPr id="87" name="圖片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圖片 87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3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6150" cy="17306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431415" cy="1721485"/>
                  <wp:effectExtent l="0" t="0" r="0" b="5715"/>
                  <wp:docPr id="90" name="圖片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圖片 90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8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9982" cy="17342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63" w:hRule="atLeast"/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tab/>
            </w:r>
            <w:r>
              <w:rPr>
                <w:rFonts w:eastAsia="標楷體"/>
              </w:rPr>
              <w:tab/>
            </w:r>
            <w:r>
              <w:rPr>
                <w:rFonts w:hint="eastAsia" w:eastAsia="標楷體"/>
              </w:rPr>
              <w:t>原始損失函數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195195" cy="1558290"/>
                  <wp:effectExtent l="0" t="0" r="1905" b="3810"/>
                  <wp:docPr id="88" name="圖片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圖片 88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0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9414" cy="15685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379345" cy="1586230"/>
                  <wp:effectExtent l="0" t="0" r="0" b="1270"/>
                  <wp:docPr id="89" name="圖片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圖片 89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345" cy="1586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6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原始正確率</w:t>
            </w:r>
          </w:p>
        </w:tc>
        <w:tc>
          <w:tcPr>
            <w:tcW w:w="396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統一對比度後</w:t>
            </w:r>
          </w:p>
        </w:tc>
      </w:tr>
    </w:tbl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0.7781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實驗組A</w:t>
      </w:r>
      <w:r>
        <w:rPr>
          <w:rFonts w:eastAsia="標楷體"/>
        </w:rPr>
        <w:t>ccuracy</w:t>
      </w:r>
      <w:r>
        <w:rPr>
          <w:rFonts w:hint="eastAsia" w:eastAsia="標楷體"/>
        </w:rPr>
        <w:t>：</w:t>
      </w:r>
      <w:r>
        <w:rPr>
          <w:rFonts w:eastAsia="標楷體"/>
        </w:rPr>
        <w:t>0.7123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增長幅度：-</w:t>
      </w:r>
      <w:r>
        <w:rPr>
          <w:rFonts w:eastAsia="標楷體"/>
        </w:rPr>
        <w:t>8.46%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對照組</w:t>
      </w:r>
      <w:r>
        <w:rPr>
          <w:rFonts w:eastAsia="標楷體"/>
        </w:rPr>
        <w:t>Loss</w:t>
      </w:r>
      <w:r>
        <w:rPr>
          <w:rFonts w:hint="eastAsia" w:eastAsia="標楷體"/>
        </w:rPr>
        <w:t>：1</w:t>
      </w:r>
      <w:r>
        <w:rPr>
          <w:rFonts w:eastAsia="標楷體"/>
        </w:rPr>
        <w:t>.0229</w:t>
      </w:r>
    </w:p>
    <w:p>
      <w:pPr>
        <w:spacing w:before="120" w:after="120" w:line="360" w:lineRule="auto"/>
        <w:ind w:left="850" w:leftChars="354"/>
        <w:rPr>
          <w:rFonts w:eastAsia="標楷體"/>
        </w:rPr>
      </w:pPr>
      <w:r>
        <w:rPr>
          <w:rFonts w:hint="eastAsia" w:eastAsia="標楷體"/>
        </w:rPr>
        <w:t>實驗組</w:t>
      </w:r>
      <w:r>
        <w:rPr>
          <w:rFonts w:eastAsia="標楷體"/>
        </w:rPr>
        <w:t>Loss</w:t>
      </w:r>
      <w:r>
        <w:rPr>
          <w:rFonts w:hint="eastAsia" w:eastAsia="標楷體"/>
        </w:rPr>
        <w:t>：</w:t>
      </w:r>
      <w:r>
        <w:rPr>
          <w:rFonts w:eastAsia="標楷體"/>
        </w:rPr>
        <w:t>0.0826</w:t>
      </w:r>
    </w:p>
    <w:p>
      <w:pPr>
        <w:spacing w:before="120" w:after="120" w:line="360" w:lineRule="auto"/>
        <w:ind w:left="850" w:leftChars="354"/>
        <w:rPr>
          <w:rFonts w:hint="eastAsia" w:eastAsia="標楷體"/>
        </w:rPr>
      </w:pPr>
      <w:r>
        <w:rPr>
          <w:rFonts w:hint="eastAsia" w:eastAsia="標楷體"/>
        </w:rPr>
        <w:t>增長幅度：</w:t>
      </w:r>
      <w:r>
        <w:rPr>
          <w:rFonts w:eastAsia="標楷體"/>
        </w:rPr>
        <w:t>+5.84%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三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綜合項目的第一級結果如下（即對照組）：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A模型配合第一級預處理函式：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0.7484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06"/>
        <w:gridCol w:w="471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90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16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74" w:hRule="atLeast"/>
        </w:trPr>
        <w:tc>
          <w:tcPr>
            <w:tcW w:w="490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704465" cy="2028190"/>
                  <wp:effectExtent l="0" t="0" r="635" b="381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98" cy="2050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6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01925" cy="2021840"/>
                  <wp:effectExtent l="0" t="0" r="3175" b="0"/>
                  <wp:docPr id="4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" b="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177" cy="2031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.7394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72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646045" cy="1817370"/>
                  <wp:effectExtent l="0" t="0" r="0" b="0"/>
                  <wp:docPr id="4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04" b="4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6189" cy="18177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523490" cy="1792605"/>
                  <wp:effectExtent l="0" t="0" r="3810" b="0"/>
                  <wp:docPr id="47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32" b="26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6870" cy="180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.7572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57"/>
        <w:gridCol w:w="4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57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65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34" w:hRule="atLeast"/>
        </w:trPr>
        <w:tc>
          <w:tcPr>
            <w:tcW w:w="4857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33700" cy="1990725"/>
                  <wp:effectExtent l="0" t="0" r="0" b="3175"/>
                  <wp:docPr id="48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763" b="47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4308" cy="19910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5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78760" cy="1964055"/>
                  <wp:effectExtent l="0" t="0" r="2540" b="4445"/>
                  <wp:docPr id="4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880" b="28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9270" cy="2035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模型配合第一級預處理函式：</w:t>
      </w:r>
    </w:p>
    <w:p>
      <w:pPr>
        <w:spacing w:before="120" w:after="120" w:line="360" w:lineRule="auto"/>
        <w:ind w:left="566" w:leftChars="236"/>
        <w:rPr>
          <w:rFonts w:eastAsia="標楷體"/>
        </w:rPr>
      </w:pPr>
      <w:r>
        <w:rPr>
          <w:rFonts w:hint="eastAsia" w:eastAsia="標楷體"/>
        </w:rPr>
        <w:t>（對照組）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0.7781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1"/>
        <w:gridCol w:w="48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96" w:hRule="atLeast"/>
        </w:trPr>
        <w:tc>
          <w:tcPr>
            <w:tcW w:w="482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90520" cy="2162810"/>
                  <wp:effectExtent l="0" t="0" r="5080" b="0"/>
                  <wp:docPr id="51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4" b="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1105" cy="21633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74010" cy="2082800"/>
                  <wp:effectExtent l="0" t="0" r="0" b="0"/>
                  <wp:docPr id="52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84" b="16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290" cy="2097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ind w:left="283" w:hanging="283"/>
        <w:rPr>
          <w:rFonts w:eastAsia="標楷體"/>
        </w:rPr>
      </w:pPr>
      <w:r>
        <w:rPr>
          <w:rFonts w:hint="eastAsia" w:eastAsia="標楷體"/>
        </w:rPr>
        <w:t>四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綜合項目的第二級調整結果如下：</w:t>
      </w:r>
      <w:r>
        <w:rPr>
          <w:rFonts w:hint="eastAsia" w:eastAsia="標楷體"/>
        </w:rPr>
        <w:br w:type="textWrapping"/>
      </w:r>
      <w:r>
        <w:rPr>
          <w:rFonts w:eastAsia="標楷體"/>
        </w:rPr>
        <w:t>A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ind w:left="566" w:leftChars="118" w:hanging="283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.7685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35605" cy="2201545"/>
                  <wp:effectExtent l="0" t="0" r="0" b="0"/>
                  <wp:docPr id="53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9581" cy="2204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91155" cy="2168525"/>
                  <wp:effectExtent l="0" t="0" r="4445" b="3175"/>
                  <wp:docPr id="54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914" cy="2173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283" w:leftChars="118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ind w:left="283" w:leftChars="118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.7663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93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13050" cy="1986915"/>
                  <wp:effectExtent l="0" t="0" r="0" b="0"/>
                  <wp:docPr id="55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1" b="29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237" cy="1992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39085" cy="2005330"/>
                  <wp:effectExtent l="0" t="0" r="5715" b="1270"/>
                  <wp:docPr id="56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03" b="29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5812" cy="2010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.7794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4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53360" cy="1951990"/>
                  <wp:effectExtent l="0" t="0" r="2540" b="3810"/>
                  <wp:docPr id="57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34" b="27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3740" cy="1952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60675" cy="2005330"/>
                  <wp:effectExtent l="0" t="0" r="0" b="1270"/>
                  <wp:docPr id="58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266" b="32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998" cy="20069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模型配合第二級預處理函式：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0.7933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978"/>
        <w:gridCol w:w="4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2" w:hRule="atLeast"/>
        </w:trPr>
        <w:tc>
          <w:tcPr>
            <w:tcW w:w="482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3049905" cy="2250440"/>
                  <wp:effectExtent l="0" t="0" r="0" b="0"/>
                  <wp:docPr id="59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01" b="8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0000" cy="22508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81325" cy="2131695"/>
                  <wp:effectExtent l="0" t="0" r="3175" b="1905"/>
                  <wp:docPr id="6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Picture 26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38" b="23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1714" cy="2131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hint="eastAsia" w:eastAsia="標楷體"/>
        </w:rPr>
      </w:pPr>
      <w:r>
        <w:rPr>
          <w:rFonts w:hint="eastAsia" w:eastAsia="標楷體"/>
        </w:rPr>
        <w:t>五</w:t>
      </w:r>
      <w:r>
        <w:rPr>
          <w:rFonts w:eastAsia="標楷體"/>
        </w:rPr>
        <w:t>、</w:t>
      </w:r>
      <w:r>
        <w:rPr>
          <w:rFonts w:hint="eastAsia" w:eastAsia="標楷體"/>
        </w:rPr>
        <w:t>綜合項目的第三級調整結果如下：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A模型配合第三級預處理函式：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</w:t>
      </w:r>
      <w:r>
        <w:rPr>
          <w:rFonts w:eastAsia="標楷體"/>
        </w:rPr>
        <w:t>0.5544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4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34945" cy="1924685"/>
                  <wp:effectExtent l="0" t="0" r="0" b="5715"/>
                  <wp:docPr id="61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84" b="30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4949" cy="192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601595" cy="1861820"/>
                  <wp:effectExtent l="0" t="0" r="1905" b="5080"/>
                  <wp:docPr id="62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284" b="22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2056" cy="1862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B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.5535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58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15260" cy="1821815"/>
                  <wp:effectExtent l="0" t="0" r="2540" b="0"/>
                  <wp:docPr id="63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264" b="5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408" cy="1822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738755" cy="1805940"/>
                  <wp:effectExtent l="0" t="0" r="4445" b="0"/>
                  <wp:docPr id="64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032" b="60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9089" cy="1806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eastAsia="標楷體"/>
        </w:rPr>
        <w:br w:type="page"/>
      </w: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C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.5787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83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470150" cy="1755775"/>
                  <wp:effectExtent l="0" t="0" r="6350" b="0"/>
                  <wp:docPr id="65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17" b="26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0501" cy="1755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458085" cy="1727835"/>
                  <wp:effectExtent l="0" t="0" r="5715" b="0"/>
                  <wp:docPr id="6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41" b="3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8483" cy="1728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eastAsia="標楷體"/>
        </w:rPr>
        <w:t>D</w:t>
      </w:r>
      <w:r>
        <w:rPr>
          <w:rFonts w:hint="eastAsia" w:eastAsia="標楷體"/>
        </w:rPr>
        <w:t>模型配合第三級預處理函式：</w:t>
      </w:r>
    </w:p>
    <w:p>
      <w:pPr>
        <w:spacing w:before="120" w:after="120" w:line="360" w:lineRule="auto"/>
        <w:ind w:left="425" w:leftChars="177"/>
        <w:rPr>
          <w:rFonts w:eastAsia="標楷體"/>
        </w:rPr>
      </w:pPr>
      <w:r>
        <w:rPr>
          <w:rFonts w:hint="eastAsia" w:eastAsia="標楷體"/>
        </w:rPr>
        <w:t>（實驗組）</w:t>
      </w:r>
      <w:r>
        <w:rPr>
          <w:rFonts w:hint="eastAsia" w:eastAsia="標楷體"/>
          <w:lang w:eastAsia="zh-TW"/>
        </w:rPr>
        <w:t>驗證集</w:t>
      </w:r>
      <w:r>
        <w:rPr>
          <w:rFonts w:hint="eastAsia" w:eastAsia="標楷體"/>
        </w:rPr>
        <w:t>正確率：0</w:t>
      </w:r>
      <w:r>
        <w:rPr>
          <w:rFonts w:eastAsia="標楷體"/>
        </w:rPr>
        <w:t>.5968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78"/>
        <w:gridCol w:w="474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78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正確率對訓練次數作圖</w:t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loss對訓練次數作圖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12" w:hRule="atLeast"/>
        </w:trPr>
        <w:tc>
          <w:tcPr>
            <w:tcW w:w="4878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903855" cy="2212340"/>
                  <wp:effectExtent l="0" t="0" r="4445" b="0"/>
                  <wp:docPr id="6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3" r="7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431" cy="221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4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114300" distR="114300">
                  <wp:extent cx="2813050" cy="2168525"/>
                  <wp:effectExtent l="0" t="0" r="6350" b="3175"/>
                  <wp:docPr id="6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51" r="1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258" cy="21685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 xml:space="preserve">　　其中我們使用的訓練參數如下，驗證集分割10%，批次大小為250（一個批次計算一次 </w:t>
      </w:r>
      <w:r>
        <w:rPr>
          <w:rFonts w:eastAsia="標楷體"/>
        </w:rPr>
        <w:t>loss</w:t>
      </w:r>
      <w:r>
        <w:rPr>
          <w:rFonts w:hint="eastAsia" w:eastAsia="標楷體"/>
        </w:rPr>
        <w:t>）</w:t>
      </w:r>
      <w:r>
        <w:rPr>
          <w:rFonts w:eastAsia="標楷體"/>
        </w:rPr>
        <w:t>,</w:t>
      </w:r>
      <w:r>
        <w:rPr>
          <w:rFonts w:hint="eastAsia" w:eastAsia="標楷體"/>
        </w:rPr>
        <w:t>並且保存在訓練過程中驗證集正確率最高的那個時間下的模型，訓練回數200次。B模型(32_48)代表第一層捲積層</w:t>
      </w:r>
      <w:r>
        <w:rPr>
          <w:rFonts w:eastAsia="標楷體"/>
        </w:rPr>
        <w:t>kernal</w:t>
      </w:r>
      <w:r>
        <w:rPr>
          <w:rFonts w:hint="eastAsia" w:eastAsia="標楷體"/>
        </w:rPr>
        <w:t>數量為32個，全連接層一層有48個神經元。其中表格內容總整理如下：</w:t>
      </w:r>
    </w:p>
    <w:tbl>
      <w:tblPr>
        <w:tblStyle w:val="12"/>
        <w:tblW w:w="499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7"/>
        <w:gridCol w:w="1089"/>
        <w:gridCol w:w="1925"/>
        <w:gridCol w:w="1911"/>
        <w:gridCol w:w="1911"/>
        <w:gridCol w:w="1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7" w:hRule="atLeast"/>
        </w:trPr>
        <w:tc>
          <w:tcPr>
            <w:tcW w:w="1105" w:type="pct"/>
            <w:gridSpan w:val="2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預處理函式等級</w:t>
            </w:r>
          </w:p>
        </w:tc>
        <w:tc>
          <w:tcPr>
            <w:tcW w:w="977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A模型(32_32)</w:t>
            </w:r>
          </w:p>
        </w:tc>
        <w:tc>
          <w:tcPr>
            <w:tcW w:w="970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B模型(32_48)</w:t>
            </w:r>
          </w:p>
        </w:tc>
        <w:tc>
          <w:tcPr>
            <w:tcW w:w="970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C模型(64_32)</w:t>
            </w:r>
          </w:p>
        </w:tc>
        <w:tc>
          <w:tcPr>
            <w:tcW w:w="977" w:type="pct"/>
            <w:tcBorders>
              <w:bottom w:val="single" w:color="auto" w:sz="4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D模型(64_48)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552" w:type="pct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L</w:t>
            </w:r>
            <w:r>
              <w:rPr>
                <w:rFonts w:eastAsia="標楷體"/>
              </w:rPr>
              <w:t>oss</w:t>
            </w:r>
          </w:p>
        </w:tc>
        <w:tc>
          <w:tcPr>
            <w:tcW w:w="97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0.8812</w:t>
            </w:r>
          </w:p>
        </w:tc>
        <w:tc>
          <w:tcPr>
            <w:tcW w:w="970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0.885</w:t>
            </w:r>
            <w:r>
              <w:rPr>
                <w:rFonts w:hint="eastAsia"/>
                <w:lang w:val="en-US" w:eastAsia="zh-TW"/>
              </w:rPr>
              <w:t>3</w:t>
            </w:r>
          </w:p>
        </w:tc>
        <w:tc>
          <w:tcPr>
            <w:tcW w:w="970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1.080</w:t>
            </w:r>
            <w:r>
              <w:rPr>
                <w:rFonts w:hint="eastAsia"/>
                <w:lang w:val="en-US" w:eastAsia="zh-TW"/>
              </w:rPr>
              <w:t>6</w:t>
            </w:r>
          </w:p>
        </w:tc>
        <w:tc>
          <w:tcPr>
            <w:tcW w:w="977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1.022</w:t>
            </w:r>
            <w:r>
              <w:rPr>
                <w:rFonts w:hint="eastAsia"/>
                <w:lang w:val="en-US" w:eastAsia="zh-TW"/>
              </w:rPr>
              <w:t>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9" w:hRule="atLeast"/>
        </w:trPr>
        <w:tc>
          <w:tcPr>
            <w:tcW w:w="552" w:type="pct"/>
            <w:tcBorders>
              <w:top w:val="single" w:color="auto" w:sz="4" w:space="0"/>
            </w:tcBorders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0.704</w:t>
            </w:r>
            <w:r>
              <w:rPr>
                <w:rFonts w:hint="eastAsia"/>
                <w:lang w:val="en-US" w:eastAsia="zh-TW"/>
              </w:rPr>
              <w:t>6</w:t>
            </w:r>
          </w:p>
        </w:tc>
        <w:tc>
          <w:tcPr>
            <w:tcW w:w="970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default" w:eastAsia="新細明體"/>
                <w:lang w:val="en-US" w:eastAsia="zh-TW"/>
              </w:rPr>
            </w:pPr>
            <w:r>
              <w:rPr>
                <w:rFonts w:hint="eastAsia"/>
              </w:rPr>
              <w:t>0.74</w:t>
            </w:r>
            <w:r>
              <w:rPr>
                <w:rFonts w:hint="eastAsia"/>
                <w:lang w:val="en-US" w:eastAsia="zh-TW"/>
              </w:rPr>
              <w:t>10</w:t>
            </w:r>
          </w:p>
        </w:tc>
        <w:tc>
          <w:tcPr>
            <w:tcW w:w="970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0.830</w:t>
            </w:r>
            <w:r>
              <w:rPr>
                <w:rFonts w:hint="eastAsia"/>
                <w:lang w:val="en-US" w:eastAsia="zh-TW"/>
              </w:rPr>
              <w:t>8</w:t>
            </w:r>
          </w:p>
        </w:tc>
        <w:tc>
          <w:tcPr>
            <w:tcW w:w="977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0.7259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1.2759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1.2395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1.229</w:t>
            </w:r>
            <w:r>
              <w:rPr>
                <w:rFonts w:hint="eastAsia"/>
                <w:lang w:val="en-US" w:eastAsia="zh-TW"/>
              </w:rPr>
              <w:t>1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1.2172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亮度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1.051</w:t>
            </w:r>
            <w:r>
              <w:rPr>
                <w:rFonts w:hint="eastAsia"/>
                <w:lang w:val="en-US" w:eastAsia="zh-TW"/>
              </w:rPr>
              <w:t>1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0.9673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1.232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0.959</w:t>
            </w:r>
            <w:r>
              <w:rPr>
                <w:rFonts w:hint="eastAsia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4" w:hRule="atLeast"/>
        </w:trPr>
        <w:tc>
          <w:tcPr>
            <w:tcW w:w="552" w:type="pct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對比度</w:t>
            </w:r>
          </w:p>
        </w:tc>
        <w:tc>
          <w:tcPr>
            <w:tcW w:w="552" w:type="pct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0.9994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0.871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970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0.9699</w:t>
            </w:r>
          </w:p>
        </w:tc>
        <w:tc>
          <w:tcPr>
            <w:tcW w:w="977" w:type="pct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1.082</w:t>
            </w:r>
            <w:r>
              <w:rPr>
                <w:rFonts w:hint="eastAsia"/>
                <w:lang w:val="en-US" w:eastAsia="zh-TW"/>
              </w:rPr>
              <w:t>6</w:t>
            </w:r>
          </w:p>
        </w:tc>
      </w:tr>
    </w:tbl>
    <w:p>
      <w:pPr>
        <w:rPr>
          <w:rFonts w:eastAsia="標楷體"/>
        </w:rPr>
      </w:pPr>
      <w:r>
        <w:rPr>
          <w:rFonts w:eastAsia="標楷體"/>
        </w:rPr>
        <w:br w:type="page"/>
      </w:r>
    </w:p>
    <w:tbl>
      <w:tblPr>
        <w:tblStyle w:val="12"/>
        <w:tblW w:w="962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1"/>
        <w:gridCol w:w="1876"/>
        <w:gridCol w:w="1876"/>
        <w:gridCol w:w="1876"/>
        <w:gridCol w:w="18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1061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</w:t>
            </w:r>
            <w:r>
              <w:rPr>
                <w:rFonts w:eastAsia="標楷體"/>
              </w:rPr>
              <w:t>cc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0.7484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0.7394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0.757</w:t>
            </w:r>
            <w:r>
              <w:rPr>
                <w:rFonts w:hint="eastAsia"/>
                <w:lang w:val="en-US" w:eastAsia="zh-TW"/>
              </w:rPr>
              <w:t>2</w:t>
            </w:r>
          </w:p>
        </w:tc>
        <w:tc>
          <w:tcPr>
            <w:tcW w:w="1876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0.778</w:t>
            </w:r>
            <w:r>
              <w:rPr>
                <w:rFonts w:hint="eastAsia"/>
                <w:lang w:val="en-US" w:eastAsia="zh-TW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0.768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0.766</w:t>
            </w:r>
            <w:r>
              <w:rPr>
                <w:rFonts w:hint="eastAsia"/>
                <w:lang w:val="en-US" w:eastAsia="zh-TW"/>
              </w:rPr>
              <w:t>3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0.779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0.793</w:t>
            </w:r>
            <w:r>
              <w:rPr>
                <w:rFonts w:hint="eastAsia"/>
                <w:lang w:val="en-US" w:eastAsia="zh-TW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0.554</w:t>
            </w:r>
            <w:r>
              <w:rPr>
                <w:rFonts w:hint="eastAsia"/>
                <w:lang w:val="en-US" w:eastAsia="zh-TW"/>
              </w:rPr>
              <w:t>4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0.553</w:t>
            </w:r>
            <w:r>
              <w:rPr>
                <w:rFonts w:hint="eastAsia"/>
                <w:lang w:val="en-US" w:eastAsia="zh-TW"/>
              </w:rPr>
              <w:t>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0.578</w:t>
            </w:r>
            <w:r>
              <w:rPr>
                <w:rFonts w:hint="eastAsia"/>
                <w:lang w:val="en-US" w:eastAsia="zh-TW"/>
              </w:rPr>
              <w:t>7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0.596</w:t>
            </w:r>
            <w:r>
              <w:rPr>
                <w:rFonts w:hint="eastAsia"/>
                <w:lang w:val="en-US" w:eastAsia="zh-TW"/>
              </w:rPr>
              <w:t>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亮度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0.7198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0.7343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0.754</w:t>
            </w:r>
            <w:r>
              <w:rPr>
                <w:rFonts w:hint="eastAsia"/>
                <w:lang w:val="en-US" w:eastAsia="zh-TW"/>
              </w:rPr>
              <w:t>9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新細明體"/>
                <w:lang w:val="en-US" w:eastAsia="zh-TW"/>
              </w:rPr>
            </w:pPr>
            <w:r>
              <w:rPr>
                <w:rFonts w:hint="eastAsia"/>
              </w:rPr>
              <w:t>0.772</w:t>
            </w:r>
            <w:r>
              <w:rPr>
                <w:rFonts w:hint="eastAsia"/>
                <w:lang w:val="en-US" w:eastAsia="zh-TW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0" w:hRule="atLeast"/>
        </w:trPr>
        <w:tc>
          <w:tcPr>
            <w:tcW w:w="1061" w:type="dxa"/>
            <w:vAlign w:val="center"/>
          </w:tcPr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</w:p>
          <w:p>
            <w:pPr>
              <w:spacing w:before="120" w:after="120" w:line="360" w:lineRule="auto"/>
              <w:jc w:val="center"/>
              <w:rPr>
                <w:rFonts w:hint="eastAsia" w:eastAsia="標楷體"/>
                <w:lang w:eastAsia="zh-TW"/>
              </w:rPr>
            </w:pPr>
            <w:r>
              <w:rPr>
                <w:rFonts w:hint="eastAsia" w:eastAsia="標楷體"/>
                <w:lang w:eastAsia="zh-TW"/>
              </w:rPr>
              <w:t>對比度</w:t>
            </w:r>
          </w:p>
        </w:tc>
        <w:tc>
          <w:tcPr>
            <w:tcW w:w="1061" w:type="dxa"/>
            <w:vMerge w:val="continue"/>
            <w:tcBorders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0.6732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0.7155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0.7122</w:t>
            </w:r>
          </w:p>
        </w:tc>
        <w:tc>
          <w:tcPr>
            <w:tcW w:w="1876" w:type="dxa"/>
            <w:shd w:val="clear" w:color="auto" w:fill="auto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/>
              </w:rPr>
              <w:t>0.7123</w:t>
            </w:r>
          </w:p>
        </w:tc>
      </w:tr>
    </w:tbl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六、不同預處理對正確率的影響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11"/>
        <w:gridCol w:w="481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圖片 22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訓練集正確率</w:t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驗證集正確率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圖片 23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rPr>
                <w:rFonts w:eastAsia="標楷體"/>
              </w:rPr>
            </w:pPr>
            <w:r>
              <w:rPr>
                <w:rFonts w:hint="eastAsia" w:eastAsia="標楷體"/>
              </w:rPr>
              <w:drawing>
                <wp:inline distT="0" distB="0" distL="0" distR="0">
                  <wp:extent cx="2743200" cy="1828800"/>
                  <wp:effectExtent l="0" t="0" r="0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圖片 24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訓練集損失函數</w:t>
            </w:r>
          </w:p>
        </w:tc>
        <w:tc>
          <w:tcPr>
            <w:tcW w:w="4811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驗證集損失函數</w:t>
            </w:r>
          </w:p>
        </w:tc>
      </w:tr>
    </w:tbl>
    <w:p>
      <w:pPr>
        <w:spacing w:before="120" w:after="120" w:line="360" w:lineRule="auto"/>
        <w:rPr>
          <w:rFonts w:hint="eastAsia" w:eastAsia="標楷體"/>
        </w:rPr>
      </w:pPr>
      <w:r>
        <w:rPr>
          <w:rFonts w:hint="eastAsia" w:eastAsia="標楷體"/>
        </w:rPr>
        <w:t>　　以上為</w:t>
      </w:r>
      <w:r>
        <w:rPr>
          <w:rFonts w:eastAsia="標楷體"/>
        </w:rPr>
        <w:t>D</w:t>
      </w:r>
      <w:r>
        <w:rPr>
          <w:rFonts w:hint="eastAsia" w:eastAsia="標楷體"/>
        </w:rPr>
        <w:t>模型搭配五種預處理在訓練過程</w:t>
      </w:r>
      <w:r>
        <w:rPr>
          <w:rFonts w:eastAsia="標楷體"/>
        </w:rPr>
        <w:t>20</w:t>
      </w:r>
      <w:r>
        <w:rPr>
          <w:rFonts w:hint="eastAsia" w:eastAsia="標楷體"/>
        </w:rPr>
        <w:t>個</w:t>
      </w:r>
      <w:r>
        <w:rPr>
          <w:rFonts w:eastAsia="標楷體"/>
        </w:rPr>
        <w:t>epoch</w:t>
      </w:r>
      <w:r>
        <w:rPr>
          <w:rFonts w:hint="eastAsia" w:eastAsia="標楷體"/>
        </w:rPr>
        <w:t>中，訓練集、驗證集的正確率、損失函數對</w:t>
      </w:r>
      <w:r>
        <w:rPr>
          <w:rFonts w:eastAsia="標楷體"/>
        </w:rPr>
        <w:t>epoch</w:t>
      </w:r>
      <w:r>
        <w:rPr>
          <w:rFonts w:hint="eastAsia" w:eastAsia="標楷體"/>
        </w:rPr>
        <w:t>作圖。可以發現不同預處理對訓練有著不同的影響，其中第三集預處理對訓練結果的影響最大。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七、泛化結果（正確率）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13"/>
        <w:gridCol w:w="1913"/>
        <w:gridCol w:w="1913"/>
        <w:gridCol w:w="1914"/>
        <w:gridCol w:w="191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5" w:hRule="atLeast"/>
        </w:trPr>
        <w:tc>
          <w:tcPr>
            <w:tcW w:w="1913" w:type="dxa"/>
            <w:tcBorders>
              <w:tl2br w:val="single" w:color="auto" w:sz="2" w:space="0"/>
            </w:tcBorders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A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B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C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第一級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eastAsia="標楷體"/>
              </w:rPr>
              <w:t>0.3966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.3702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.4249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3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.7484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.7394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.7572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第二級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.4043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.3592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.4351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.4673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9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.7685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.7663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.7794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.7933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第三級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.2542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.1914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.2124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.2114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.5544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.5535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.5787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.5968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  <w:r>
              <w:rPr>
                <w:rFonts w:hint="eastAsia" w:eastAsia="標楷體"/>
              </w:rPr>
              <w:t>亮度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.3482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.3959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.3877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1" w:hRule="atLeast"/>
        </w:trPr>
        <w:tc>
          <w:tcPr>
            <w:tcW w:w="1913" w:type="dxa"/>
            <w:vMerge w:val="continue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.7198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.7343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.7549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.7723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913" w:type="dxa"/>
            <w:vMerge w:val="restart"/>
            <w:vAlign w:val="center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  <w:lang w:eastAsia="zh-TW"/>
              </w:rPr>
              <w:t>統一</w:t>
            </w:r>
            <w:r>
              <w:rPr>
                <w:rFonts w:hint="eastAsia" w:eastAsia="標楷體"/>
              </w:rPr>
              <w:t>對比度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.4142</w:t>
            </w:r>
          </w:p>
        </w:tc>
        <w:tc>
          <w:tcPr>
            <w:tcW w:w="1913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.4200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.4446</w:t>
            </w:r>
          </w:p>
        </w:tc>
        <w:tc>
          <w:tcPr>
            <w:tcW w:w="1914" w:type="dxa"/>
            <w:shd w:val="clear" w:color="auto" w:fill="D8D8D8" w:themeFill="background1" w:themeFillShade="D9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.4426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4" w:hRule="atLeast"/>
        </w:trPr>
        <w:tc>
          <w:tcPr>
            <w:tcW w:w="1913" w:type="dxa"/>
            <w:vMerge w:val="continue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.6732</w:t>
            </w:r>
          </w:p>
        </w:tc>
        <w:tc>
          <w:tcPr>
            <w:tcW w:w="1913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.7155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.7122</w:t>
            </w:r>
          </w:p>
        </w:tc>
        <w:tc>
          <w:tcPr>
            <w:tcW w:w="1914" w:type="dxa"/>
          </w:tcPr>
          <w:p>
            <w:pPr>
              <w:spacing w:before="120" w:after="120" w:line="360" w:lineRule="auto"/>
              <w:jc w:val="center"/>
              <w:rPr>
                <w:rFonts w:eastAsia="標楷體"/>
              </w:rPr>
            </w:pPr>
            <w:r>
              <w:rPr>
                <w:rFonts w:hint="eastAsia" w:eastAsia="標楷體"/>
              </w:rPr>
              <w:t>0</w:t>
            </w:r>
            <w:r>
              <w:rPr>
                <w:rFonts w:eastAsia="標楷體"/>
              </w:rPr>
              <w:t>.7123</w:t>
            </w:r>
          </w:p>
        </w:tc>
      </w:tr>
    </w:tbl>
    <w:p>
      <w:pPr>
        <w:spacing w:before="120" w:after="120" w:line="360" w:lineRule="auto"/>
        <w:rPr>
          <w:rFonts w:eastAsia="標楷體"/>
          <w:b/>
          <w:bCs/>
        </w:rPr>
      </w:pPr>
      <w:r>
        <w:rPr>
          <w:rFonts w:hint="eastAsia" w:eastAsia="標楷體"/>
          <w:b/>
          <w:bCs/>
        </w:rPr>
        <w:t>灰色網底的是新資料集（另外找的資料庫）之泛化結果的正確率</w:t>
      </w:r>
    </w:p>
    <w:p>
      <w:pPr>
        <w:spacing w:before="120" w:after="120" w:line="360" w:lineRule="auto"/>
        <w:rPr>
          <w:rFonts w:eastAsia="標楷體"/>
          <w:b/>
          <w:bCs/>
        </w:rPr>
      </w:pPr>
      <w:r>
        <w:rPr>
          <w:rFonts w:hint="eastAsia" w:eastAsia="標楷體"/>
          <w:b/>
          <w:bCs/>
        </w:rPr>
        <w:t>白色網底的是原資料集（</w:t>
      </w:r>
      <w:r>
        <w:rPr>
          <w:rFonts w:eastAsia="標楷體"/>
          <w:b/>
          <w:bCs/>
        </w:rPr>
        <w:t>Cifar10</w:t>
      </w:r>
      <w:r>
        <w:rPr>
          <w:rFonts w:hint="eastAsia" w:eastAsia="標楷體"/>
          <w:b/>
          <w:bCs/>
        </w:rPr>
        <w:t>）之訓練結果的正確率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我們取了一個模型對應各個預處理的訓練過程中，驗證集分數最高的</w:t>
      </w:r>
      <w:r>
        <w:rPr>
          <w:rFonts w:eastAsia="標楷體"/>
        </w:rPr>
        <w:t>epoch</w:t>
      </w:r>
      <w:r>
        <w:rPr>
          <w:rFonts w:hint="eastAsia" w:eastAsia="標楷體"/>
        </w:rPr>
        <w:t>的模型。並且我們進行泛化測試的資料來源為</w:t>
      </w:r>
      <w:r>
        <w:rPr>
          <w:rFonts w:eastAsia="標楷體"/>
        </w:rPr>
        <w:t>8</w:t>
      </w:r>
      <w:r>
        <w:rPr>
          <w:rFonts w:hint="eastAsia" w:eastAsia="標楷體"/>
        </w:rPr>
        <w:t>個不同於</w:t>
      </w:r>
      <w:r>
        <w:rPr>
          <w:rFonts w:eastAsia="標楷體"/>
        </w:rPr>
        <w:t>Cifar10</w:t>
      </w:r>
      <w:r>
        <w:rPr>
          <w:rFonts w:hint="eastAsia" w:eastAsia="標楷體"/>
        </w:rPr>
        <w:t>的資料集，飛機、鳥、鹿、青蛙、馬、船各一個，和一個分辨卡車和汽車的資料及和一個分辨貓或狗的資料集，恰對應原本C</w:t>
      </w:r>
      <w:r>
        <w:rPr>
          <w:rFonts w:eastAsia="標楷體"/>
        </w:rPr>
        <w:t>ifar10</w:t>
      </w:r>
      <w:r>
        <w:rPr>
          <w:rFonts w:hint="eastAsia" w:eastAsia="標楷體"/>
        </w:rPr>
        <w:t>的資料庫。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在我們訓練的結果中可以發現，某些預處理會使辨識的正確率降低。但是這並不代表這會減損其泛化的能力。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且在我們的泛化結果數據中，也可以發現部分使驗證集正確率下降的組合，卻擁有比較好的泛化能力，並且差異頗大。雖然沒有明顯規律，但是在以</w:t>
      </w:r>
      <w:r>
        <w:rPr>
          <w:rFonts w:eastAsia="標楷體"/>
        </w:rPr>
        <w:t>Cifar10</w:t>
      </w:r>
      <w:r>
        <w:rPr>
          <w:rFonts w:hint="eastAsia" w:eastAsia="標楷體"/>
        </w:rPr>
        <w:t>為資料集做圖片辨識並分類的任務中，可以看出不同的模型若以泛化為目的，似乎適用於不同的預處理函式。</w:t>
      </w:r>
    </w:p>
    <w:p>
      <w:pPr>
        <w:spacing w:before="120" w:after="120" w:line="360" w:lineRule="auto"/>
        <w:rPr>
          <w:rFonts w:eastAsia="標楷體"/>
        </w:rPr>
      </w:pPr>
      <w:r>
        <w:rPr>
          <w:rFonts w:hint="eastAsia" w:eastAsia="標楷體"/>
        </w:rPr>
        <w:t>　　而最後，在訓練結果中我們也發現，在統一對比度的正確率下降了，照理來說</w:t>
      </w:r>
      <w:r>
        <w:rPr>
          <w:rFonts w:eastAsia="標楷體"/>
        </w:rPr>
        <w:t>loss</w:t>
      </w:r>
      <w:r>
        <w:rPr>
          <w:rFonts w:hint="eastAsia" w:eastAsia="標楷體"/>
        </w:rPr>
        <w:t>值應該要上升，不過在最後得到的結果卻是l</w:t>
      </w:r>
      <w:r>
        <w:rPr>
          <w:rFonts w:eastAsia="標楷體"/>
        </w:rPr>
        <w:t>oss</w:t>
      </w:r>
      <w:r>
        <w:rPr>
          <w:rFonts w:hint="eastAsia" w:eastAsia="標楷體"/>
        </w:rPr>
        <w:t>反而也下降了，因此我們推測應該也是訓練次數不夠多的關係，可能每次都差一點點就答對了，但正確率只看最後的結果，因此依舊是錯的，不過l</w:t>
      </w:r>
      <w:r>
        <w:rPr>
          <w:rFonts w:eastAsia="標楷體"/>
        </w:rPr>
        <w:t>oss</w:t>
      </w:r>
      <w:r>
        <w:rPr>
          <w:rFonts w:hint="eastAsia" w:eastAsia="標楷體"/>
        </w:rPr>
        <w:t>會因此而減少。因此若訓練次數放大，結果應該會比較平衡。</w:t>
      </w:r>
    </w:p>
    <w:p>
      <w:pPr>
        <w:spacing w:before="120" w:after="120" w:line="360" w:lineRule="auto"/>
        <w:rPr>
          <w:rFonts w:hint="eastAsia" w:eastAsia="標楷體"/>
        </w:rPr>
      </w:pPr>
    </w:p>
    <w:p>
      <w:pPr>
        <w:spacing w:before="120" w:after="120" w:line="360" w:lineRule="auto"/>
        <w:jc w:val="center"/>
        <w:rPr>
          <w:rFonts w:eastAsia="標楷體"/>
        </w:rPr>
      </w:pPr>
      <w:r>
        <w:rPr>
          <w:rFonts w:eastAsia="標楷體"/>
          <w:b/>
          <w:sz w:val="32"/>
        </w:rPr>
        <w:t>陸、結論</w:t>
      </w:r>
    </w:p>
    <w:p>
      <w:pPr>
        <w:spacing w:before="120" w:after="120"/>
        <w:ind w:left="422" w:leftChars="-1" w:hanging="424" w:hangingChars="177"/>
        <w:rPr>
          <w:rFonts w:eastAsia="標楷體"/>
          <w:szCs w:val="20"/>
        </w:rPr>
      </w:pPr>
      <w:r>
        <w:rPr>
          <w:rFonts w:eastAsia="標楷體"/>
          <w:szCs w:val="20"/>
        </w:rPr>
        <w:t>一、</w:t>
      </w:r>
      <w:r>
        <w:rPr>
          <w:rFonts w:hint="eastAsia" w:eastAsia="標楷體"/>
          <w:szCs w:val="20"/>
        </w:rPr>
        <w:t>在適當的預處理下，能夠增加訓練集的多樣性，更好的利用每一張圖片所攜帶的資料。</w:t>
      </w:r>
    </w:p>
    <w:p>
      <w:pPr>
        <w:spacing w:before="120" w:after="120"/>
        <w:rPr>
          <w:rFonts w:eastAsia="標楷體"/>
          <w:szCs w:val="20"/>
        </w:rPr>
      </w:pPr>
      <w:r>
        <w:rPr>
          <w:rFonts w:eastAsia="標楷體"/>
          <w:szCs w:val="20"/>
        </w:rPr>
        <w:t>二、</w:t>
      </w:r>
      <w:r>
        <w:rPr>
          <w:rFonts w:hint="eastAsia" w:eastAsia="標楷體"/>
          <w:szCs w:val="20"/>
        </w:rPr>
        <w:t>預處理若使的圖片不易辨識，則會對訓練有不利的影響。</w:t>
      </w:r>
    </w:p>
    <w:p>
      <w:pPr>
        <w:spacing w:before="120" w:after="120"/>
        <w:rPr>
          <w:rFonts w:eastAsia="標楷體"/>
          <w:szCs w:val="20"/>
        </w:rPr>
      </w:pPr>
      <w:r>
        <w:rPr>
          <w:rFonts w:hint="eastAsia" w:eastAsia="標楷體"/>
          <w:szCs w:val="20"/>
        </w:rPr>
        <w:t>三、就算是會使得驗證集正確率下降的預處理函式，也有可能會使模型泛化能力增加。</w:t>
      </w:r>
    </w:p>
    <w:p>
      <w:pPr>
        <w:pStyle w:val="13"/>
        <w:spacing w:before="120" w:after="120" w:line="360" w:lineRule="auto"/>
        <w:ind w:left="906" w:leftChars="0"/>
        <w:jc w:val="both"/>
        <w:rPr>
          <w:rFonts w:eastAsia="標楷體"/>
        </w:rPr>
      </w:pPr>
    </w:p>
    <w:p>
      <w:pPr>
        <w:widowControl/>
        <w:suppressAutoHyphens w:val="0"/>
        <w:autoSpaceDN/>
        <w:spacing w:line="360" w:lineRule="auto"/>
        <w:textAlignment w:val="auto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br w:type="page"/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柒、未來展望</w:t>
      </w:r>
    </w:p>
    <w:p>
      <w:pPr>
        <w:numPr>
          <w:ilvl w:val="0"/>
          <w:numId w:val="3"/>
        </w:numPr>
        <w:spacing w:line="360" w:lineRule="auto"/>
        <w:jc w:val="both"/>
        <w:rPr>
          <w:rFonts w:eastAsia="標楷體"/>
        </w:rPr>
      </w:pPr>
      <w:r>
        <w:rPr>
          <w:rFonts w:hint="eastAsia" w:eastAsia="標楷體"/>
          <w:lang w:eastAsia="zh-TW"/>
        </w:rPr>
        <w:t>探究不同策略之預處理對模型表現的影響。</w:t>
      </w:r>
    </w:p>
    <w:p>
      <w:pPr>
        <w:numPr>
          <w:ilvl w:val="0"/>
          <w:numId w:val="3"/>
        </w:numPr>
        <w:spacing w:line="360" w:lineRule="auto"/>
        <w:jc w:val="both"/>
        <w:rPr>
          <w:rFonts w:eastAsia="標楷體"/>
        </w:rPr>
      </w:pPr>
      <w:r>
        <w:rPr>
          <w:rFonts w:hint="eastAsia" w:eastAsia="標楷體"/>
          <w:lang w:eastAsia="zh-TW"/>
        </w:rPr>
        <w:t>用更多樣的控制變因深入測試各種預處理的影響。</w:t>
      </w:r>
    </w:p>
    <w:p>
      <w:pPr>
        <w:spacing w:before="120" w:after="120" w:line="360" w:lineRule="auto"/>
        <w:jc w:val="center"/>
        <w:rPr>
          <w:rFonts w:eastAsia="標楷體"/>
          <w:b/>
          <w:sz w:val="32"/>
        </w:rPr>
      </w:pPr>
      <w:r>
        <w:rPr>
          <w:rFonts w:eastAsia="標楷體"/>
          <w:b/>
          <w:sz w:val="32"/>
        </w:rPr>
        <w:t>捌、參考資料</w:t>
      </w:r>
    </w:p>
    <w:p>
      <w:pPr>
        <w:pStyle w:val="23"/>
        <w:numPr>
          <w:ilvl w:val="0"/>
          <w:numId w:val="4"/>
        </w:numPr>
        <w:rPr>
          <w:rFonts w:eastAsia="標楷體"/>
        </w:rPr>
      </w:pPr>
      <w:r>
        <w:rPr>
          <w:rFonts w:eastAsia="標楷體"/>
        </w:rPr>
        <w:t xml:space="preserve">Karen Simonyan &amp; Andrew Zisserman. (2015). </w:t>
      </w:r>
      <w:r>
        <w:rPr>
          <w:rFonts w:eastAsia="標楷體"/>
          <w:i/>
          <w:iCs/>
        </w:rPr>
        <w:t>Very Deep Convolutional Networks for Large-Scale Image Recognition</w:t>
      </w:r>
      <w:r>
        <w:rPr>
          <w:rFonts w:eastAsia="標楷體"/>
        </w:rPr>
        <w:t>. International Conference on Learning Representations</w:t>
      </w:r>
    </w:p>
    <w:p>
      <w:pPr>
        <w:pStyle w:val="23"/>
        <w:ind w:left="763"/>
        <w:rPr>
          <w:rFonts w:hint="eastAsia" w:eastAsia="標楷體"/>
        </w:rPr>
      </w:pPr>
    </w:p>
    <w:p>
      <w:pPr>
        <w:pStyle w:val="23"/>
        <w:numPr>
          <w:ilvl w:val="0"/>
          <w:numId w:val="4"/>
        </w:numPr>
        <w:rPr>
          <w:rFonts w:eastAsia="標楷體"/>
        </w:rPr>
      </w:pPr>
      <w:r>
        <w:rPr>
          <w:rFonts w:eastAsia="標楷體"/>
        </w:rPr>
        <w:t xml:space="preserve">Y. Lecun, L. Bottou, Y. Bengio and P. Haffner. (1998). </w:t>
      </w:r>
      <w:r>
        <w:rPr>
          <w:rFonts w:eastAsia="標楷體"/>
          <w:i/>
          <w:iCs/>
        </w:rPr>
        <w:t>Gradient-based learning applied to document recognition</w:t>
      </w:r>
      <w:r>
        <w:rPr>
          <w:rFonts w:eastAsia="標楷體"/>
        </w:rPr>
        <w:t>, in Proceedings of the IEEE, vol. 86, no. 11, pp. 2278-2324, doi: 10.1109/5.726791</w:t>
      </w:r>
    </w:p>
    <w:p>
      <w:pPr>
        <w:pStyle w:val="23"/>
        <w:spacing w:line="360" w:lineRule="auto"/>
        <w:ind w:left="763"/>
        <w:rPr>
          <w:rFonts w:hint="eastAsia" w:eastAsia="標楷體"/>
        </w:rPr>
      </w:pPr>
    </w:p>
    <w:sectPr>
      <w:footerReference r:id="rId3" w:type="default"/>
      <w:pgSz w:w="11906" w:h="16838"/>
      <w:pgMar w:top="1134" w:right="1134" w:bottom="1134" w:left="1134" w:header="851" w:footer="992" w:gutter="0"/>
      <w:pgNumType w:start="0"/>
      <w:cols w:space="425" w:num="1"/>
      <w:titlePg/>
      <w:docGrid w:type="lines"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細明體">
    <w:panose1 w:val="02020500000000000000"/>
    <w:charset w:val="88"/>
    <w:family w:val="roman"/>
    <w:pitch w:val="default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標楷體">
    <w:panose1 w:val="03000509000000000000"/>
    <w:charset w:val="88"/>
    <w:family w:val="auto"/>
    <w:pitch w:val="default"/>
    <w:sig w:usb0="00000003" w:usb1="082E0000" w:usb2="00000016" w:usb3="00000000" w:csb0="001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center"/>
    </w:pPr>
  </w:p>
  <w:p>
    <w:pPr>
      <w:pStyle w:val="8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D8A442B"/>
    <w:multiLevelType w:val="multilevel"/>
    <w:tmpl w:val="2D8A442B"/>
    <w:lvl w:ilvl="0" w:tentative="0">
      <w:start w:val="1"/>
      <w:numFmt w:val="taiwaneseCountingThousand"/>
      <w:lvlText w:val="%1、"/>
      <w:lvlJc w:val="left"/>
      <w:pPr>
        <w:ind w:left="763" w:hanging="480"/>
      </w:pPr>
    </w:lvl>
    <w:lvl w:ilvl="1" w:tentative="0">
      <w:start w:val="1"/>
      <w:numFmt w:val="ideographTraditional"/>
      <w:lvlText w:val="%2、"/>
      <w:lvlJc w:val="left"/>
      <w:pPr>
        <w:ind w:left="1243" w:hanging="480"/>
      </w:pPr>
    </w:lvl>
    <w:lvl w:ilvl="2" w:tentative="0">
      <w:start w:val="1"/>
      <w:numFmt w:val="lowerRoman"/>
      <w:lvlText w:val="%3."/>
      <w:lvlJc w:val="right"/>
      <w:pPr>
        <w:ind w:left="1723" w:hanging="480"/>
      </w:pPr>
    </w:lvl>
    <w:lvl w:ilvl="3" w:tentative="0">
      <w:start w:val="1"/>
      <w:numFmt w:val="decimal"/>
      <w:lvlText w:val="%4."/>
      <w:lvlJc w:val="left"/>
      <w:pPr>
        <w:ind w:left="2203" w:hanging="480"/>
      </w:pPr>
    </w:lvl>
    <w:lvl w:ilvl="4" w:tentative="0">
      <w:start w:val="1"/>
      <w:numFmt w:val="ideographTraditional"/>
      <w:lvlText w:val="%5、"/>
      <w:lvlJc w:val="left"/>
      <w:pPr>
        <w:ind w:left="2683" w:hanging="480"/>
      </w:pPr>
    </w:lvl>
    <w:lvl w:ilvl="5" w:tentative="0">
      <w:start w:val="1"/>
      <w:numFmt w:val="lowerRoman"/>
      <w:lvlText w:val="%6."/>
      <w:lvlJc w:val="right"/>
      <w:pPr>
        <w:ind w:left="3163" w:hanging="480"/>
      </w:pPr>
    </w:lvl>
    <w:lvl w:ilvl="6" w:tentative="0">
      <w:start w:val="1"/>
      <w:numFmt w:val="decimal"/>
      <w:lvlText w:val="%7."/>
      <w:lvlJc w:val="left"/>
      <w:pPr>
        <w:ind w:left="3643" w:hanging="480"/>
      </w:pPr>
    </w:lvl>
    <w:lvl w:ilvl="7" w:tentative="0">
      <w:start w:val="1"/>
      <w:numFmt w:val="ideographTraditional"/>
      <w:lvlText w:val="%8、"/>
      <w:lvlJc w:val="left"/>
      <w:pPr>
        <w:ind w:left="4123" w:hanging="480"/>
      </w:pPr>
    </w:lvl>
    <w:lvl w:ilvl="8" w:tentative="0">
      <w:start w:val="1"/>
      <w:numFmt w:val="lowerRoman"/>
      <w:lvlText w:val="%9."/>
      <w:lvlJc w:val="right"/>
      <w:pPr>
        <w:ind w:left="4603" w:hanging="480"/>
      </w:pPr>
    </w:lvl>
  </w:abstractNum>
  <w:abstractNum w:abstractNumId="1">
    <w:nsid w:val="3D151434"/>
    <w:multiLevelType w:val="multilevel"/>
    <w:tmpl w:val="3D151434"/>
    <w:lvl w:ilvl="0" w:tentative="0">
      <w:start w:val="1"/>
      <w:numFmt w:val="taiwaneseCountingThousand"/>
      <w:lvlText w:val="%1、"/>
      <w:lvlJc w:val="left"/>
      <w:pPr>
        <w:ind w:left="1200" w:hanging="480"/>
      </w:pPr>
      <w:rPr>
        <w:rFonts w:hint="default"/>
        <w:lang w:val="en-US"/>
      </w:rPr>
    </w:lvl>
    <w:lvl w:ilvl="1" w:tentative="0">
      <w:start w:val="5"/>
      <w:numFmt w:val="japaneseLegal"/>
      <w:lvlText w:val="%2、"/>
      <w:lvlJc w:val="left"/>
      <w:pPr>
        <w:ind w:left="1920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2160" w:hanging="480"/>
      </w:pPr>
    </w:lvl>
    <w:lvl w:ilvl="3" w:tentative="0">
      <w:start w:val="1"/>
      <w:numFmt w:val="decimal"/>
      <w:lvlText w:val="%4."/>
      <w:lvlJc w:val="left"/>
      <w:pPr>
        <w:ind w:left="2640" w:hanging="480"/>
      </w:pPr>
    </w:lvl>
    <w:lvl w:ilvl="4" w:tentative="0">
      <w:start w:val="1"/>
      <w:numFmt w:val="ideographTraditional"/>
      <w:lvlText w:val="%5、"/>
      <w:lvlJc w:val="left"/>
      <w:pPr>
        <w:ind w:left="3120" w:hanging="480"/>
      </w:pPr>
    </w:lvl>
    <w:lvl w:ilvl="5" w:tentative="0">
      <w:start w:val="1"/>
      <w:numFmt w:val="lowerRoman"/>
      <w:lvlText w:val="%6."/>
      <w:lvlJc w:val="right"/>
      <w:pPr>
        <w:ind w:left="3600" w:hanging="480"/>
      </w:pPr>
    </w:lvl>
    <w:lvl w:ilvl="6" w:tentative="0">
      <w:start w:val="1"/>
      <w:numFmt w:val="decimal"/>
      <w:lvlText w:val="%7."/>
      <w:lvlJc w:val="left"/>
      <w:pPr>
        <w:ind w:left="4080" w:hanging="480"/>
      </w:pPr>
    </w:lvl>
    <w:lvl w:ilvl="7" w:tentative="0">
      <w:start w:val="1"/>
      <w:numFmt w:val="ideographTraditional"/>
      <w:lvlText w:val="%8、"/>
      <w:lvlJc w:val="left"/>
      <w:pPr>
        <w:ind w:left="4560" w:hanging="480"/>
      </w:pPr>
    </w:lvl>
    <w:lvl w:ilvl="8" w:tentative="0">
      <w:start w:val="1"/>
      <w:numFmt w:val="lowerRoman"/>
      <w:lvlText w:val="%9."/>
      <w:lvlJc w:val="right"/>
      <w:pPr>
        <w:ind w:left="5040" w:hanging="480"/>
      </w:pPr>
    </w:lvl>
  </w:abstractNum>
  <w:abstractNum w:abstractNumId="2">
    <w:nsid w:val="562C0E4C"/>
    <w:multiLevelType w:val="multilevel"/>
    <w:tmpl w:val="562C0E4C"/>
    <w:lvl w:ilvl="0" w:tentative="0">
      <w:start w:val="1"/>
      <w:numFmt w:val="taiwaneseCountingThousand"/>
      <w:lvlText w:val="%1、"/>
      <w:lvlJc w:val="left"/>
      <w:pPr>
        <w:tabs>
          <w:tab w:val="left" w:pos="720"/>
        </w:tabs>
        <w:ind w:left="720" w:hanging="360"/>
      </w:pPr>
      <w:rPr>
        <w:rFonts w:hint="default"/>
      </w:rPr>
    </w:lvl>
    <w:lvl w:ilvl="1" w:tentative="0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3">
    <w:nsid w:val="62C7039C"/>
    <w:multiLevelType w:val="singleLevel"/>
    <w:tmpl w:val="62C7039C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APA 6th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e2vtedena2ewdefaavxvtdexv550x22wa2a&quot;&gt;My EndNote Library - 1&lt;record-ids&gt;&lt;item&gt;29&lt;/item&gt;&lt;item&gt;179&lt;/item&gt;&lt;/record-ids&gt;&lt;/item&gt;&lt;/Libraries&gt;"/>
  </w:docVars>
  <w:rsids>
    <w:rsidRoot w:val="00681304"/>
    <w:rsid w:val="00026229"/>
    <w:rsid w:val="000338D6"/>
    <w:rsid w:val="00060E51"/>
    <w:rsid w:val="0006299D"/>
    <w:rsid w:val="00065E9A"/>
    <w:rsid w:val="00067CA2"/>
    <w:rsid w:val="000775E5"/>
    <w:rsid w:val="000A43A0"/>
    <w:rsid w:val="000A588A"/>
    <w:rsid w:val="000A78CA"/>
    <w:rsid w:val="000B5A8C"/>
    <w:rsid w:val="000B5D25"/>
    <w:rsid w:val="000C127A"/>
    <w:rsid w:val="000D1704"/>
    <w:rsid w:val="000D6CEC"/>
    <w:rsid w:val="000F74F4"/>
    <w:rsid w:val="00101275"/>
    <w:rsid w:val="00116D2E"/>
    <w:rsid w:val="001413D0"/>
    <w:rsid w:val="00145B68"/>
    <w:rsid w:val="00150465"/>
    <w:rsid w:val="00166440"/>
    <w:rsid w:val="001B0579"/>
    <w:rsid w:val="001B39CE"/>
    <w:rsid w:val="001D6432"/>
    <w:rsid w:val="001D7671"/>
    <w:rsid w:val="00200765"/>
    <w:rsid w:val="00203B56"/>
    <w:rsid w:val="002059BF"/>
    <w:rsid w:val="002124D1"/>
    <w:rsid w:val="00213579"/>
    <w:rsid w:val="00222EC6"/>
    <w:rsid w:val="00236AA3"/>
    <w:rsid w:val="00251867"/>
    <w:rsid w:val="00253C73"/>
    <w:rsid w:val="0027347D"/>
    <w:rsid w:val="00282C05"/>
    <w:rsid w:val="002A32E5"/>
    <w:rsid w:val="002B68DA"/>
    <w:rsid w:val="002C7439"/>
    <w:rsid w:val="002E1E8D"/>
    <w:rsid w:val="002E477B"/>
    <w:rsid w:val="003140FB"/>
    <w:rsid w:val="003169C3"/>
    <w:rsid w:val="00363EF4"/>
    <w:rsid w:val="003A0B74"/>
    <w:rsid w:val="003A3CF1"/>
    <w:rsid w:val="003B6F8B"/>
    <w:rsid w:val="003F257D"/>
    <w:rsid w:val="004242FB"/>
    <w:rsid w:val="00446006"/>
    <w:rsid w:val="00472310"/>
    <w:rsid w:val="0047544E"/>
    <w:rsid w:val="004C7AFB"/>
    <w:rsid w:val="004E2EDC"/>
    <w:rsid w:val="004F6911"/>
    <w:rsid w:val="005006CF"/>
    <w:rsid w:val="00504B59"/>
    <w:rsid w:val="00530D44"/>
    <w:rsid w:val="00536532"/>
    <w:rsid w:val="00573BAD"/>
    <w:rsid w:val="00576FE3"/>
    <w:rsid w:val="005801C7"/>
    <w:rsid w:val="0059042B"/>
    <w:rsid w:val="00593650"/>
    <w:rsid w:val="0059663D"/>
    <w:rsid w:val="005A0756"/>
    <w:rsid w:val="005A4230"/>
    <w:rsid w:val="005B7FF2"/>
    <w:rsid w:val="005C38B3"/>
    <w:rsid w:val="005E5DFD"/>
    <w:rsid w:val="005F79A0"/>
    <w:rsid w:val="00627036"/>
    <w:rsid w:val="00630F16"/>
    <w:rsid w:val="00642FCA"/>
    <w:rsid w:val="00681304"/>
    <w:rsid w:val="006844E7"/>
    <w:rsid w:val="0069083D"/>
    <w:rsid w:val="006A7DE4"/>
    <w:rsid w:val="006F2FC2"/>
    <w:rsid w:val="006F73C1"/>
    <w:rsid w:val="00712D98"/>
    <w:rsid w:val="007174B2"/>
    <w:rsid w:val="00720017"/>
    <w:rsid w:val="00746A3E"/>
    <w:rsid w:val="00765992"/>
    <w:rsid w:val="00772542"/>
    <w:rsid w:val="007826D4"/>
    <w:rsid w:val="007A7CE4"/>
    <w:rsid w:val="007C3D2E"/>
    <w:rsid w:val="007D2E98"/>
    <w:rsid w:val="007F662F"/>
    <w:rsid w:val="00814031"/>
    <w:rsid w:val="008171B3"/>
    <w:rsid w:val="00820EC6"/>
    <w:rsid w:val="00852662"/>
    <w:rsid w:val="0085350F"/>
    <w:rsid w:val="00860D1B"/>
    <w:rsid w:val="00866489"/>
    <w:rsid w:val="00873937"/>
    <w:rsid w:val="00885203"/>
    <w:rsid w:val="008961F9"/>
    <w:rsid w:val="008B40C7"/>
    <w:rsid w:val="008C5520"/>
    <w:rsid w:val="008D76D2"/>
    <w:rsid w:val="008E2D8D"/>
    <w:rsid w:val="00931A52"/>
    <w:rsid w:val="00940532"/>
    <w:rsid w:val="009413AF"/>
    <w:rsid w:val="00944C15"/>
    <w:rsid w:val="009537B2"/>
    <w:rsid w:val="009821E6"/>
    <w:rsid w:val="00986AF7"/>
    <w:rsid w:val="009A1459"/>
    <w:rsid w:val="009A161F"/>
    <w:rsid w:val="009A1F2C"/>
    <w:rsid w:val="00A2314C"/>
    <w:rsid w:val="00A34E90"/>
    <w:rsid w:val="00A72997"/>
    <w:rsid w:val="00A914DF"/>
    <w:rsid w:val="00AD3EED"/>
    <w:rsid w:val="00AD75F9"/>
    <w:rsid w:val="00AE7464"/>
    <w:rsid w:val="00AF4D6A"/>
    <w:rsid w:val="00B14042"/>
    <w:rsid w:val="00B3227B"/>
    <w:rsid w:val="00B40ABF"/>
    <w:rsid w:val="00B455DD"/>
    <w:rsid w:val="00B45C43"/>
    <w:rsid w:val="00B51D26"/>
    <w:rsid w:val="00B54C62"/>
    <w:rsid w:val="00B5509E"/>
    <w:rsid w:val="00B90376"/>
    <w:rsid w:val="00B9117F"/>
    <w:rsid w:val="00B927A9"/>
    <w:rsid w:val="00B97241"/>
    <w:rsid w:val="00BC219C"/>
    <w:rsid w:val="00BF43B6"/>
    <w:rsid w:val="00BF4F51"/>
    <w:rsid w:val="00C17CA2"/>
    <w:rsid w:val="00C363C6"/>
    <w:rsid w:val="00C47D04"/>
    <w:rsid w:val="00C71209"/>
    <w:rsid w:val="00C82082"/>
    <w:rsid w:val="00CB0360"/>
    <w:rsid w:val="00CD3016"/>
    <w:rsid w:val="00CE1BFD"/>
    <w:rsid w:val="00CF5223"/>
    <w:rsid w:val="00D0384A"/>
    <w:rsid w:val="00D14C87"/>
    <w:rsid w:val="00D153F3"/>
    <w:rsid w:val="00D31F02"/>
    <w:rsid w:val="00D4501E"/>
    <w:rsid w:val="00D66AE4"/>
    <w:rsid w:val="00D7432A"/>
    <w:rsid w:val="00D800B8"/>
    <w:rsid w:val="00DD4F2A"/>
    <w:rsid w:val="00E06CEB"/>
    <w:rsid w:val="00E15733"/>
    <w:rsid w:val="00E166DF"/>
    <w:rsid w:val="00E43336"/>
    <w:rsid w:val="00E6696D"/>
    <w:rsid w:val="00E765B0"/>
    <w:rsid w:val="00E9021D"/>
    <w:rsid w:val="00EA33DC"/>
    <w:rsid w:val="00EB0F4D"/>
    <w:rsid w:val="00EB449F"/>
    <w:rsid w:val="00EB5F23"/>
    <w:rsid w:val="00EC3619"/>
    <w:rsid w:val="00ED5FDB"/>
    <w:rsid w:val="00ED6AAA"/>
    <w:rsid w:val="00EF2D6A"/>
    <w:rsid w:val="00EF6E0D"/>
    <w:rsid w:val="00F47371"/>
    <w:rsid w:val="00F4744C"/>
    <w:rsid w:val="00F51709"/>
    <w:rsid w:val="00F754A0"/>
    <w:rsid w:val="00F90F73"/>
    <w:rsid w:val="00F9102F"/>
    <w:rsid w:val="00F96AA5"/>
    <w:rsid w:val="00FC7BA1"/>
    <w:rsid w:val="00FE3A4F"/>
    <w:rsid w:val="00FF4C46"/>
    <w:rsid w:val="00FF528C"/>
    <w:rsid w:val="1DD7218D"/>
    <w:rsid w:val="5B051FBD"/>
    <w:rsid w:val="7F9B1E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  <w:suppressAutoHyphens/>
      <w:autoSpaceDN w:val="0"/>
      <w:textAlignment w:val="baseline"/>
    </w:pPr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7"/>
    <w:semiHidden/>
    <w:unhideWhenUsed/>
    <w:uiPriority w:val="99"/>
    <w:rPr>
      <w:rFonts w:asciiTheme="majorHAnsi" w:hAnsiTheme="majorHAnsi" w:eastAsiaTheme="majorEastAsia" w:cstheme="majorBidi"/>
      <w:sz w:val="18"/>
      <w:szCs w:val="18"/>
    </w:rPr>
  </w:style>
  <w:style w:type="character" w:styleId="5">
    <w:name w:val="annotation reference"/>
    <w:basedOn w:val="2"/>
    <w:semiHidden/>
    <w:unhideWhenUsed/>
    <w:uiPriority w:val="99"/>
    <w:rPr>
      <w:sz w:val="18"/>
      <w:szCs w:val="18"/>
    </w:rPr>
  </w:style>
  <w:style w:type="paragraph" w:styleId="6">
    <w:name w:val="annotation text"/>
    <w:basedOn w:val="1"/>
    <w:link w:val="25"/>
    <w:semiHidden/>
    <w:unhideWhenUsed/>
    <w:uiPriority w:val="99"/>
  </w:style>
  <w:style w:type="paragraph" w:styleId="7">
    <w:name w:val="annotation subject"/>
    <w:basedOn w:val="6"/>
    <w:next w:val="6"/>
    <w:link w:val="26"/>
    <w:semiHidden/>
    <w:unhideWhenUsed/>
    <w:uiPriority w:val="99"/>
    <w:rPr>
      <w:b/>
      <w:bCs/>
    </w:rPr>
  </w:style>
  <w:style w:type="paragraph" w:styleId="8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9">
    <w:name w:val="header"/>
    <w:basedOn w:val="1"/>
    <w:link w:val="15"/>
    <w:unhideWhenUsed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10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uiPriority w:val="99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新細明體" w:hAnsi="新細明體" w:cs="新細明體"/>
      <w:kern w:val="0"/>
    </w:rPr>
  </w:style>
  <w:style w:type="table" w:styleId="12">
    <w:name w:val="Table Grid"/>
    <w:basedOn w:val="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3">
    <w:name w:val="List Paragraph"/>
    <w:basedOn w:val="1"/>
    <w:link w:val="21"/>
    <w:qFormat/>
    <w:uiPriority w:val="99"/>
    <w:pPr>
      <w:ind w:left="480" w:leftChars="200"/>
    </w:pPr>
  </w:style>
  <w:style w:type="table" w:customStyle="1" w:styleId="14">
    <w:name w:val="表格格線1"/>
    <w:basedOn w:val="3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頁首 字元"/>
    <w:basedOn w:val="2"/>
    <w:link w:val="9"/>
    <w:uiPriority w:val="99"/>
    <w:rPr>
      <w:rFonts w:ascii="Times New Roman" w:hAnsi="Times New Roman" w:eastAsia="新細明體" w:cs="Times New Roman"/>
      <w:kern w:val="3"/>
      <w:sz w:val="20"/>
      <w:szCs w:val="20"/>
    </w:rPr>
  </w:style>
  <w:style w:type="character" w:customStyle="1" w:styleId="16">
    <w:name w:val="頁尾 字元"/>
    <w:basedOn w:val="2"/>
    <w:link w:val="8"/>
    <w:uiPriority w:val="99"/>
    <w:rPr>
      <w:rFonts w:ascii="Times New Roman" w:hAnsi="Times New Roman" w:eastAsia="新細明體" w:cs="Times New Roman"/>
      <w:kern w:val="3"/>
      <w:sz w:val="20"/>
      <w:szCs w:val="20"/>
    </w:rPr>
  </w:style>
  <w:style w:type="character" w:customStyle="1" w:styleId="17">
    <w:name w:val="註解方塊文字 字元"/>
    <w:basedOn w:val="2"/>
    <w:link w:val="4"/>
    <w:semiHidden/>
    <w:uiPriority w:val="99"/>
    <w:rPr>
      <w:rFonts w:asciiTheme="majorHAnsi" w:hAnsiTheme="majorHAnsi" w:eastAsiaTheme="majorEastAsia" w:cstheme="majorBidi"/>
      <w:kern w:val="3"/>
      <w:sz w:val="18"/>
      <w:szCs w:val="18"/>
    </w:rPr>
  </w:style>
  <w:style w:type="paragraph" w:styleId="18">
    <w:name w:val="Quote"/>
    <w:basedOn w:val="1"/>
    <w:next w:val="1"/>
    <w:link w:val="19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9">
    <w:name w:val="引文 字元"/>
    <w:basedOn w:val="2"/>
    <w:link w:val="18"/>
    <w:qFormat/>
    <w:uiPriority w:val="29"/>
    <w:rPr>
      <w:rFonts w:ascii="Times New Roman" w:hAnsi="Times New Roman" w:eastAsia="新細明體" w:cs="Times New Roman"/>
      <w:i/>
      <w:iCs/>
      <w:color w:val="000000" w:themeColor="text1"/>
      <w:kern w:val="3"/>
      <w:szCs w:val="24"/>
      <w14:textFill>
        <w14:solidFill>
          <w14:schemeClr w14:val="tx1"/>
        </w14:solidFill>
      </w14:textFill>
    </w:rPr>
  </w:style>
  <w:style w:type="paragraph" w:customStyle="1" w:styleId="20">
    <w:name w:val="EndNote Bibliography Title"/>
    <w:basedOn w:val="1"/>
    <w:link w:val="22"/>
    <w:uiPriority w:val="0"/>
    <w:pPr>
      <w:jc w:val="center"/>
    </w:pPr>
  </w:style>
  <w:style w:type="character" w:customStyle="1" w:styleId="21">
    <w:name w:val="清單段落 字元"/>
    <w:basedOn w:val="2"/>
    <w:link w:val="13"/>
    <w:uiPriority w:val="34"/>
    <w:rPr>
      <w:rFonts w:ascii="Times New Roman" w:hAnsi="Times New Roman" w:eastAsia="新細明體" w:cs="Times New Roman"/>
      <w:kern w:val="3"/>
      <w:szCs w:val="24"/>
    </w:rPr>
  </w:style>
  <w:style w:type="character" w:customStyle="1" w:styleId="22">
    <w:name w:val="EndNote Bibliography Title 字元"/>
    <w:basedOn w:val="21"/>
    <w:link w:val="20"/>
    <w:uiPriority w:val="0"/>
    <w:rPr>
      <w:rFonts w:ascii="Times New Roman" w:hAnsi="Times New Roman" w:eastAsia="新細明體" w:cs="Times New Roman"/>
      <w:kern w:val="3"/>
      <w:szCs w:val="24"/>
    </w:rPr>
  </w:style>
  <w:style w:type="paragraph" w:customStyle="1" w:styleId="23">
    <w:name w:val="EndNote Bibliography"/>
    <w:basedOn w:val="1"/>
    <w:link w:val="24"/>
    <w:uiPriority w:val="0"/>
  </w:style>
  <w:style w:type="character" w:customStyle="1" w:styleId="24">
    <w:name w:val="EndNote Bibliography 字元"/>
    <w:basedOn w:val="21"/>
    <w:link w:val="23"/>
    <w:uiPriority w:val="0"/>
    <w:rPr>
      <w:rFonts w:ascii="Times New Roman" w:hAnsi="Times New Roman" w:eastAsia="新細明體" w:cs="Times New Roman"/>
      <w:kern w:val="3"/>
      <w:szCs w:val="24"/>
    </w:rPr>
  </w:style>
  <w:style w:type="character" w:customStyle="1" w:styleId="25">
    <w:name w:val="註解文字 字元"/>
    <w:basedOn w:val="2"/>
    <w:link w:val="6"/>
    <w:semiHidden/>
    <w:uiPriority w:val="99"/>
    <w:rPr>
      <w:rFonts w:ascii="Times New Roman" w:hAnsi="Times New Roman" w:eastAsia="新細明體" w:cs="Times New Roman"/>
      <w:kern w:val="3"/>
      <w:szCs w:val="24"/>
    </w:rPr>
  </w:style>
  <w:style w:type="character" w:customStyle="1" w:styleId="26">
    <w:name w:val="註解主旨 字元"/>
    <w:basedOn w:val="25"/>
    <w:link w:val="7"/>
    <w:semiHidden/>
    <w:uiPriority w:val="99"/>
    <w:rPr>
      <w:rFonts w:ascii="Times New Roman" w:hAnsi="Times New Roman" w:eastAsia="新細明體" w:cs="Times New Roman"/>
      <w:b/>
      <w:bCs/>
      <w:kern w:val="3"/>
      <w:szCs w:val="24"/>
    </w:rPr>
  </w:style>
  <w:style w:type="paragraph" w:customStyle="1" w:styleId="27">
    <w:name w:val="Revision"/>
    <w:hidden/>
    <w:semiHidden/>
    <w:uiPriority w:val="99"/>
    <w:rPr>
      <w:rFonts w:ascii="Times New Roman" w:hAnsi="Times New Roman" w:eastAsia="新細明體" w:cs="Times New Roman"/>
      <w:kern w:val="3"/>
      <w:sz w:val="24"/>
      <w:szCs w:val="24"/>
      <w:lang w:val="en-US" w:eastAsia="zh-TW" w:bidi="ar-SA"/>
    </w:rPr>
  </w:style>
  <w:style w:type="paragraph" w:customStyle="1" w:styleId="28">
    <w:name w:val="清單段落1"/>
    <w:basedOn w:val="1"/>
    <w:qFormat/>
    <w:uiPriority w:val="34"/>
    <w:pPr>
      <w:ind w:left="480" w:leftChars="200"/>
    </w:pPr>
    <w:rPr>
      <w:rFonts w:eastAsia="SimSu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41.jpeg"/><Relationship Id="rId44" Type="http://schemas.openxmlformats.org/officeDocument/2006/relationships/image" Target="media/image40.jpeg"/><Relationship Id="rId43" Type="http://schemas.openxmlformats.org/officeDocument/2006/relationships/image" Target="media/image39.jpeg"/><Relationship Id="rId42" Type="http://schemas.openxmlformats.org/officeDocument/2006/relationships/image" Target="media/image38.jpe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C6AFD3A-E91C-4E48-B23A-AFF68DB1BA8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3260</Words>
  <Characters>4391</Characters>
  <Lines>186</Lines>
  <Paragraphs>184</Paragraphs>
  <TotalTime>9</TotalTime>
  <ScaleCrop>false</ScaleCrop>
  <LinksUpToDate>false</LinksUpToDate>
  <CharactersWithSpaces>4471</CharactersWithSpaces>
  <Application>WPS Office_11.2.0.10078_F1E327BC-269C-435d-A152-05C5408002CA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2020-05-05T05:44:00Z</dcterms:created>
  <dc:creator>leocheng66@gmail.com</dc:creator>
  <cp:lastModifiedBy>Kulimi</cp:lastModifiedBy>
  <dcterms:modified xsi:type="dcterms:W3CDTF">2021-04-06T15:06:43Z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1033-11.2.0.10078</vt:lpwstr>
  </property>
</Properties>
</file>