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homework"/>
    <w:p>
      <w:pPr>
        <w:pStyle w:val="Heading1"/>
      </w:pPr>
      <w:r>
        <w:t xml:space="preserve">homework</w:t>
      </w:r>
    </w:p>
    <w:p>
      <w:pPr>
        <w:pStyle w:val="FirstParagraph"/>
      </w:pPr>
      <w:r>
        <w:rPr>
          <w:rFonts w:hint="eastAsia"/>
          <w:b/>
          <w:bCs/>
        </w:rPr>
        <w:t xml:space="preserve">日期：2026-04-28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以下為該論文的完整詳細學術報告，深入探討每一章節的電路設計、公式推導與實驗數據。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2026-04-28T10:53:36Z</dcterms:created>
  <dcterms:modified xsi:type="dcterms:W3CDTF">2026-04-28T10:53:36Z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