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40"/>
      </w:pPr>
      <w:r>
        <w:rPr>
          <w:rFonts w:ascii="Menlo" w:cs="Menlo" w:eastAsia="Menlo" w:hAnsi="Menlo"/>
          <w:b/>
          <w:bCs/>
          <w:color w:val="c0392b"/>
          <w:sz w:val="15"/>
          <w:szCs w:val="15"/>
        </w:rPr>
        <w:t xml:space="preserve">WEEKLY BRIEFING</w:t>
      </w:r>
    </w:p>
    <w:p>
      <w:pPr>
        <w:spacing w:after="280"/>
      </w:pPr>
      <w:r>
        <w:rPr>
          <w:rFonts w:ascii="PingFang SC" w:cs="PingFang SC" w:eastAsia="PingFang SC" w:hAnsi="PingFang SC"/>
          <w:b/>
          <w:bCs/>
          <w:color w:val="141414"/>
          <w:sz w:val="56"/>
          <w:szCs w:val="56"/>
        </w:rPr>
        <w:t xml:space="preserve">MATCH Act 冲击波，设备股剧烈震荡</w:t>
      </w:r>
    </w:p>
    <w:p>
      <w:pPr>
        <w:pBdr>
          <w:left w:val="single" w:color="e0e0e0" w:sz="6" w:space="12"/>
        </w:pBdr>
        <w:spacing w:after="0"/>
      </w:pPr>
      <w:r>
        <w:rPr>
          <w:rFonts w:ascii="PingFang SC" w:cs="PingFang SC" w:eastAsia="PingFang SC" w:hAnsi="PingFang SC"/>
          <w:color w:val="666666"/>
          <w:sz w:val="22"/>
          <w:szCs w:val="22"/>
        </w:rPr>
        <w:t xml:space="preserve">美国国会推出新芯片设备出口管制法案，ASML 单日跌近 5%；AMAT 发布两款 GAA 2nm 沉积系统，股价反弹 8%；中国设备厂商在 SEMICON China 密集发布新品。</w:t>
      </w: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pBdr>
          <w:top w:val="single" w:color="e0e0e0" w:sz="1" w:space="12"/>
        </w:pBdr>
        <w:tabs>
          <w:tab w:val="right" w:pos="9026"/>
        </w:tabs>
        <w:spacing w:before="200"/>
      </w:pPr>
      <w:r>
        <w:rPr>
          <w:rFonts w:ascii="PingFang SC" w:cs="PingFang SC" w:eastAsia="PingFang SC" w:hAnsi="PingFang SC"/>
          <w:color w:val="999999"/>
          <w:sz w:val="16"/>
          <w:szCs w:val="16"/>
        </w:rPr>
        <w:t xml:space="preserve">半导体工艺装备行业追踪 | 内部参考 · 每周一刊</w:t>
      </w:r>
      <w:r>
        <w:rPr>
          <w:rFonts w:ascii="Menlo" w:cs="Menlo" w:eastAsia="Menlo" w:hAnsi="Menlo"/>
          <w:color w:val="999999"/>
          <w:sz w:val="13"/>
          <w:szCs w:val="13"/>
        </w:rPr>
        <w:t xml:space="preserve">	CONFIDENTIAL</w:t>
      </w:r>
    </w:p>
    <w:p>
      <w:r>
        <w:br w:type="page"/>
      </w: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01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本周速览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WEEKLY DIGEST</w:t>
      </w:r>
    </w:p>
    <w:p>
      <w:pPr>
        <w:pBdr>
          <w:top w:val="single" w:color="efefef" w:sz="1" w:space="8"/>
        </w:pBdr>
        <w:tabs>
          <w:tab w:val="left" w:pos="600"/>
          <w:tab w:val="left" w:pos="1500"/>
        </w:tabs>
        <w:spacing w:after="140"/>
      </w:pPr>
      <w:r>
        <w:rPr>
          <w:rFonts w:ascii="Menlo" w:cs="Menlo" w:eastAsia="Menlo" w:hAnsi="Menlo"/>
          <w:color w:val="999999"/>
          <w:sz w:val="16"/>
          <w:szCs w:val="16"/>
        </w:rPr>
        <w:t xml:space="preserve">01</w:t>
      </w:r>
      <w:r>
        <w:t xml:space="preserve">	</w:t>
      </w:r>
      <w:r>
        <w:rPr>
          <w:rFonts w:ascii="Menlo" w:cs="Menlo" w:eastAsia="Menlo" w:hAnsi="Menlo"/>
          <w:color w:val="666666"/>
          <w:sz w:val="13"/>
          <w:szCs w:val="13"/>
        </w:rPr>
        <w:t xml:space="preserve">POLICY</w:t>
      </w:r>
      <w:r>
        <w:t xml:space="preserve">	</w:t>
      </w:r>
      <w:r>
        <w:rPr>
          <w:rFonts w:ascii="PingFang SC" w:cs="PingFang SC" w:eastAsia="PingFang SC" w:hAnsi="PingFang SC"/>
          <w:b/>
          <w:bCs/>
          <w:color w:val="1a1a1a"/>
          <w:sz w:val="20"/>
          <w:szCs w:val="20"/>
        </w:rPr>
        <w:t xml:space="preserve">美国众议院推出 MATCH Act，拟封堵 ASML DUV 对华出口通道，ASML 单日跌 4.7%</w:t>
      </w:r>
    </w:p>
    <w:p>
      <w:pPr>
        <w:pBdr>
          <w:top w:val="single" w:color="efefef" w:sz="1" w:space="8"/>
        </w:pBdr>
        <w:tabs>
          <w:tab w:val="left" w:pos="600"/>
          <w:tab w:val="left" w:pos="1500"/>
        </w:tabs>
        <w:spacing w:after="140"/>
      </w:pPr>
      <w:r>
        <w:rPr>
          <w:rFonts w:ascii="Menlo" w:cs="Menlo" w:eastAsia="Menlo" w:hAnsi="Menlo"/>
          <w:color w:val="999999"/>
          <w:sz w:val="16"/>
          <w:szCs w:val="16"/>
        </w:rPr>
        <w:t xml:space="preserve">02</w:t>
      </w:r>
      <w:r>
        <w:t xml:space="preserve">	</w:t>
      </w:r>
      <w:r>
        <w:rPr>
          <w:rFonts w:ascii="Menlo" w:cs="Menlo" w:eastAsia="Menlo" w:hAnsi="Menlo"/>
          <w:color w:val="666666"/>
          <w:sz w:val="13"/>
          <w:szCs w:val="13"/>
        </w:rPr>
        <w:t xml:space="preserve">AMAT</w:t>
      </w:r>
      <w:r>
        <w:t xml:space="preserve">	</w:t>
      </w:r>
      <w:r>
        <w:rPr>
          <w:rFonts w:ascii="PingFang SC" w:cs="PingFang SC" w:eastAsia="PingFang SC" w:hAnsi="PingFang SC"/>
          <w:b/>
          <w:bCs/>
          <w:color w:val="1a1a1a"/>
          <w:sz w:val="20"/>
          <w:szCs w:val="20"/>
        </w:rPr>
        <w:t xml:space="preserve">Applied Materials 发布两款面向 GAA 2nm 的沉积系统，股价当日涨 8%</w:t>
      </w:r>
    </w:p>
    <w:p>
      <w:pPr>
        <w:pBdr>
          <w:top w:val="single" w:color="efefef" w:sz="1" w:space="8"/>
        </w:pBdr>
        <w:tabs>
          <w:tab w:val="left" w:pos="600"/>
          <w:tab w:val="left" w:pos="1500"/>
        </w:tabs>
        <w:spacing w:after="140"/>
      </w:pPr>
      <w:r>
        <w:rPr>
          <w:rFonts w:ascii="Menlo" w:cs="Menlo" w:eastAsia="Menlo" w:hAnsi="Menlo"/>
          <w:color w:val="999999"/>
          <w:sz w:val="16"/>
          <w:szCs w:val="16"/>
        </w:rPr>
        <w:t xml:space="preserve">03</w:t>
      </w:r>
      <w:r>
        <w:t xml:space="preserve">	</w:t>
      </w:r>
      <w:r>
        <w:rPr>
          <w:rFonts w:ascii="Menlo" w:cs="Menlo" w:eastAsia="Menlo" w:hAnsi="Menlo"/>
          <w:color w:val="666666"/>
          <w:sz w:val="13"/>
          <w:szCs w:val="13"/>
        </w:rPr>
        <w:t xml:space="preserve">SEMI</w:t>
      </w:r>
      <w:r>
        <w:t xml:space="preserve">	</w:t>
      </w:r>
      <w:r>
        <w:rPr>
          <w:rFonts w:ascii="PingFang SC" w:cs="PingFang SC" w:eastAsia="PingFang SC" w:hAnsi="PingFang SC"/>
          <w:b/>
          <w:bCs/>
          <w:color w:val="1a1a1a"/>
          <w:sz w:val="20"/>
          <w:szCs w:val="20"/>
        </w:rPr>
        <w:t xml:space="preserve">SEMI 发布数据：2025 全球半导体设备销售 $1,351 亿，预计 2027 年达 $1,560 亿创新高</w:t>
      </w:r>
    </w:p>
    <w:p>
      <w:pPr>
        <w:pBdr>
          <w:top w:val="single" w:color="efefef" w:sz="1" w:space="8"/>
        </w:pBdr>
        <w:tabs>
          <w:tab w:val="left" w:pos="600"/>
          <w:tab w:val="left" w:pos="1500"/>
        </w:tabs>
        <w:spacing w:after="140"/>
      </w:pPr>
      <w:r>
        <w:rPr>
          <w:rFonts w:ascii="Menlo" w:cs="Menlo" w:eastAsia="Menlo" w:hAnsi="Menlo"/>
          <w:color w:val="999999"/>
          <w:sz w:val="16"/>
          <w:szCs w:val="16"/>
        </w:rPr>
        <w:t xml:space="preserve">04</w:t>
      </w:r>
      <w:r>
        <w:t xml:space="preserve">	</w:t>
      </w:r>
      <w:r>
        <w:rPr>
          <w:rFonts w:ascii="Menlo" w:cs="Menlo" w:eastAsia="Menlo" w:hAnsi="Menlo"/>
          <w:color w:val="666666"/>
          <w:sz w:val="13"/>
          <w:szCs w:val="13"/>
        </w:rPr>
        <w:t xml:space="preserve">CHINA</w:t>
      </w:r>
      <w:r>
        <w:t xml:space="preserve">	</w:t>
      </w:r>
      <w:r>
        <w:rPr>
          <w:rFonts w:ascii="PingFang SC" w:cs="PingFang SC" w:eastAsia="PingFang SC" w:hAnsi="PingFang SC"/>
          <w:b/>
          <w:bCs/>
          <w:color w:val="1a1a1a"/>
          <w:sz w:val="20"/>
          <w:szCs w:val="20"/>
        </w:rPr>
        <w:t xml:space="preserve">北方华创、中微公司在 SEMICON China 2026 密集发布新品，北方华创 2026 年订单目标 600 亿</w:t>
      </w:r>
    </w:p>
    <w:p>
      <w:pPr>
        <w:pBdr>
          <w:top w:val="single" w:color="efefef" w:sz="1" w:space="8"/>
        </w:pBdr>
        <w:tabs>
          <w:tab w:val="left" w:pos="600"/>
          <w:tab w:val="left" w:pos="1500"/>
        </w:tabs>
        <w:spacing w:after="140"/>
      </w:pPr>
      <w:r>
        <w:rPr>
          <w:rFonts w:ascii="Menlo" w:cs="Menlo" w:eastAsia="Menlo" w:hAnsi="Menlo"/>
          <w:color w:val="999999"/>
          <w:sz w:val="16"/>
          <w:szCs w:val="16"/>
        </w:rPr>
        <w:t xml:space="preserve">05</w:t>
      </w:r>
      <w:r>
        <w:t xml:space="preserve">	</w:t>
      </w:r>
      <w:r>
        <w:rPr>
          <w:rFonts w:ascii="Menlo" w:cs="Menlo" w:eastAsia="Menlo" w:hAnsi="Menlo"/>
          <w:color w:val="666666"/>
          <w:sz w:val="13"/>
          <w:szCs w:val="13"/>
        </w:rPr>
        <w:t xml:space="preserve">HIGH-NA</w:t>
      </w:r>
      <w:r>
        <w:t xml:space="preserve">	</w:t>
      </w:r>
      <w:r>
        <w:rPr>
          <w:rFonts w:ascii="PingFang SC" w:cs="PingFang SC" w:eastAsia="PingFang SC" w:hAnsi="PingFang SC"/>
          <w:b/>
          <w:bCs/>
          <w:color w:val="1a1a1a"/>
          <w:sz w:val="20"/>
          <w:szCs w:val="20"/>
        </w:rPr>
        <w:t xml:space="preserve">Imec 接收 ASML EXE:5200 High-NA EUV 系统，预计 Q4 完成验证</w:t>
      </w: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02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市场脉搏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MARKET PULSE</w:t>
      </w:r>
    </w:p>
    <w:tbl>
      <w:tblPr>
        <w:tblW w:type="dxa" w:w="8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6"/>
      </w:tblGrid>
      <w:tr>
        <w:tc>
          <w:tcPr>
            <w:tcW w:type="dxa" w:w="8746"/>
            <w:tcBorders>
              <w:top w:val="single" w:color="efefef" w:sz="1"/>
              <w:left w:val="single" w:color="141414" w:sz="12"/>
              <w:bottom w:val="single" w:color="efefef" w:sz="1"/>
              <w:right w:val="single" w:color="efefef" w:sz="1"/>
            </w:tcBorders>
            <w:shd w:fill="f5f5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nlo" w:cs="Menlo" w:eastAsia="Menlo" w:hAnsi="Menlo"/>
                <w:color w:val="999999"/>
                <w:sz w:val="13"/>
                <w:szCs w:val="13"/>
              </w:rPr>
              <w:t xml:space="preserve">SOX 费城半导体指数</w:t>
            </w:r>
          </w:p>
          <w:p>
            <w:pPr>
              <w:spacing w:after="0"/>
            </w:pPr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7,877    52W High: 8,498 · -7.3% off peak</w:t>
            </w:r>
          </w:p>
        </w:tc>
      </w:tr>
    </w:tbl>
    <w:p>
      <w:pPr>
        <w:spacing w:after="200"/>
      </w:pPr>
    </w:p>
    <w:tbl>
      <w:tblPr>
        <w:tblW w:type="dxa" w:w="8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186"/>
        <w:gridCol w:w="2186"/>
        <w:gridCol w:w="2188"/>
      </w:tblGrid>
      <w:tr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999999"/>
                <w:sz w:val="14"/>
                <w:szCs w:val="14"/>
              </w:rPr>
              <w:t xml:space="preserve">Ticker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999999"/>
                <w:sz w:val="14"/>
                <w:szCs w:val="14"/>
              </w:rPr>
              <w:t xml:space="preserve">Price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999999"/>
                <w:sz w:val="14"/>
                <w:szCs w:val="14"/>
              </w:rPr>
              <w:t xml:space="preserve">Change</w:t>
            </w:r>
          </w:p>
        </w:tc>
        <w:tc>
          <w:tcPr>
            <w:tcW w:type="dxa" w:w="2188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999999"/>
                <w:sz w:val="14"/>
                <w:szCs w:val="14"/>
              </w:rPr>
              <w:t xml:space="preserve">Note</w:t>
            </w:r>
          </w:p>
        </w:tc>
      </w:tr>
      <w:tr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a1a1a"/>
                <w:sz w:val="16"/>
                <w:szCs w:val="16"/>
              </w:rPr>
              <w:t xml:space="preserve">AMAT</w:t>
            </w:r>
          </w:p>
          <w:p>
            <w:r>
              <w:rPr>
                <w:rFonts w:ascii="PingFang SC" w:cs="PingFang SC" w:eastAsia="PingFang SC" w:hAnsi="PingFang SC"/>
                <w:color w:val="666666"/>
                <w:sz w:val="16"/>
                <w:szCs w:val="16"/>
              </w:rPr>
              <w:t xml:space="preserve">Applied Materials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41414"/>
                <w:sz w:val="22"/>
                <w:szCs w:val="22"/>
              </w:rPr>
              <w:t xml:space="preserve">$352.62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6a34a"/>
                <w:sz w:val="18"/>
                <w:szCs w:val="18"/>
              </w:rPr>
              <w:t xml:space="preserve">▲ +8.0%</w:t>
            </w:r>
          </w:p>
        </w:tc>
        <w:tc>
          <w:tcPr>
            <w:tcW w:type="dxa" w:w="2188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999999"/>
                <w:sz w:val="16"/>
                <w:szCs w:val="16"/>
              </w:rPr>
              <w:t xml:space="preserve">GAA 新品发布提振</w:t>
            </w:r>
          </w:p>
        </w:tc>
      </w:tr>
      <w:tr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a1a1a"/>
                <w:sz w:val="16"/>
                <w:szCs w:val="16"/>
              </w:rPr>
              <w:t xml:space="preserve">LRCX</w:t>
            </w:r>
          </w:p>
          <w:p>
            <w:r>
              <w:rPr>
                <w:rFonts w:ascii="PingFang SC" w:cs="PingFang SC" w:eastAsia="PingFang SC" w:hAnsi="PingFang SC"/>
                <w:color w:val="666666"/>
                <w:sz w:val="16"/>
                <w:szCs w:val="16"/>
              </w:rPr>
              <w:t xml:space="preserve">Lam Research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41414"/>
                <w:sz w:val="22"/>
                <w:szCs w:val="22"/>
              </w:rPr>
              <w:t xml:space="preserve">$235.00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6a34a"/>
                <w:sz w:val="18"/>
                <w:szCs w:val="18"/>
              </w:rPr>
              <w:t xml:space="preserve">▲ +9.5%</w:t>
            </w:r>
          </w:p>
        </w:tc>
        <w:tc>
          <w:tcPr>
            <w:tcW w:type="dxa" w:w="2188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999999"/>
                <w:sz w:val="16"/>
                <w:szCs w:val="16"/>
              </w:rPr>
              <w:t xml:space="preserve">YTD +37.6%，连续四季超预期</w:t>
            </w:r>
          </w:p>
        </w:tc>
      </w:tr>
      <w:tr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a1a1a"/>
                <w:sz w:val="16"/>
                <w:szCs w:val="16"/>
              </w:rPr>
              <w:t xml:space="preserve">ASML</w:t>
            </w:r>
          </w:p>
          <w:p>
            <w:r>
              <w:rPr>
                <w:rFonts w:ascii="PingFang SC" w:cs="PingFang SC" w:eastAsia="PingFang SC" w:hAnsi="PingFang SC"/>
                <w:color w:val="666666"/>
                <w:sz w:val="16"/>
                <w:szCs w:val="16"/>
              </w:rPr>
              <w:t xml:space="preserve">ASML Holding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41414"/>
                <w:sz w:val="22"/>
                <w:szCs w:val="22"/>
              </w:rPr>
              <w:t xml:space="preserve">$1,317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dc2626"/>
                <w:sz w:val="18"/>
                <w:szCs w:val="18"/>
              </w:rPr>
              <w:t xml:space="preserve">▼ -4.7%</w:t>
            </w:r>
          </w:p>
        </w:tc>
        <w:tc>
          <w:tcPr>
            <w:tcW w:type="dxa" w:w="2188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999999"/>
                <w:sz w:val="16"/>
                <w:szCs w:val="16"/>
              </w:rPr>
              <w:t xml:space="preserve">MATCH Act 冲击，中国营收占 29%</w:t>
            </w:r>
          </w:p>
        </w:tc>
      </w:tr>
      <w:tr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a1a1a"/>
                <w:sz w:val="16"/>
                <w:szCs w:val="16"/>
              </w:rPr>
              <w:t xml:space="preserve">KLAC</w:t>
            </w:r>
          </w:p>
          <w:p>
            <w:r>
              <w:rPr>
                <w:rFonts w:ascii="PingFang SC" w:cs="PingFang SC" w:eastAsia="PingFang SC" w:hAnsi="PingFang SC"/>
                <w:color w:val="666666"/>
                <w:sz w:val="16"/>
                <w:szCs w:val="16"/>
              </w:rPr>
              <w:t xml:space="preserve">KLA Corporation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41414"/>
                <w:sz w:val="22"/>
                <w:szCs w:val="22"/>
              </w:rPr>
              <w:t xml:space="preserve">$1,661</w:t>
            </w:r>
          </w:p>
        </w:tc>
        <w:tc>
          <w:tcPr>
            <w:tcW w:type="dxa" w:w="2186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b/>
                <w:bCs/>
                <w:color w:val="16a34a"/>
                <w:sz w:val="18"/>
                <w:szCs w:val="18"/>
              </w:rPr>
              <w:t xml:space="preserve">▲ +7.4%</w:t>
            </w:r>
          </w:p>
        </w:tc>
        <w:tc>
          <w:tcPr>
            <w:tcW w:type="dxa" w:w="2188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999999"/>
                <w:sz w:val="16"/>
                <w:szCs w:val="16"/>
              </w:rPr>
              <w:t xml:space="preserve">YTD +30.3%，$70 亿回购计划</w:t>
            </w:r>
          </w:p>
        </w:tc>
      </w:tr>
    </w:tbl>
    <w:p>
      <w:r>
        <w:br w:type="page"/>
      </w: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03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设备巨头动态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EQUIPMENT GIANTS</w:t>
      </w:r>
    </w:p>
    <w:p>
      <w:pPr>
        <w:tabs>
          <w:tab w:val="right" w:pos="9026"/>
        </w:tabs>
        <w:spacing w:after="60" w:before="240"/>
      </w:pPr>
      <w:r>
        <w:rPr>
          <w:rFonts w:ascii="PingFang SC" w:cs="PingFang SC" w:eastAsia="PingFang SC" w:hAnsi="PingFang SC"/>
          <w:b/>
          <w:bCs/>
          <w:color w:val="141414"/>
          <w:sz w:val="26"/>
          <w:szCs w:val="26"/>
        </w:rPr>
        <w:t xml:space="preserve">Applied Materials</w:t>
      </w:r>
      <w:r>
        <w:rPr>
          <w:rFonts w:ascii="Menlo" w:cs="Menlo" w:eastAsia="Menlo" w:hAnsi="Menlo"/>
          <w:color w:val="999999"/>
          <w:sz w:val="14"/>
          <w:szCs w:val="14"/>
        </w:rPr>
        <w:t xml:space="preserve">	NASDAQ: AMAT</w:t>
      </w:r>
    </w:p>
    <w:p>
      <w:pPr>
        <w:pBdr>
          <w:left w:val="single" w:color="c0392b" w:sz="12" w:space="12"/>
        </w:pBdr>
        <w:shd w:fill="fdf8f7" w:val="clear"/>
        <w:spacing w:after="120"/>
      </w:pPr>
      <w:r>
        <w:rPr>
          <w:rFonts w:ascii="PingFang SC" w:cs="PingFang SC" w:eastAsia="PingFang SC" w:hAnsi="PingFang SC"/>
          <w:b/>
          <w:bCs/>
          <w:color w:val="1a1a1a"/>
          <w:sz w:val="20"/>
          <w:szCs w:val="20"/>
        </w:rPr>
        <w:t xml:space="preserve">4 月 8 日发布 Precision Selective Nitride PECVD 和 Trillium ALD 两款沉积系统，面向 GAA 2nm 及以下节点的原子级精度制造。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Apr 8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新品发布后股价当日大涨约 8%，市场反应积极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Q1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Q1 FY2026 EPS $2.38（超预期 $0.17），营收 $70.1 亿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展望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管理层预计 2026 年半导体行业增长 20%+，DRAM 领涨</w:t>
      </w:r>
    </w:p>
    <w:p>
      <w:pPr>
        <w:pBdr>
          <w:bottom w:val="single" w:color="efefef" w:sz="1" w:space="8"/>
        </w:pBdr>
        <w:spacing w:after="200" w:before="200"/>
      </w:pPr>
    </w:p>
    <w:p>
      <w:pPr>
        <w:tabs>
          <w:tab w:val="right" w:pos="9026"/>
        </w:tabs>
        <w:spacing w:after="60" w:before="240"/>
      </w:pPr>
      <w:r>
        <w:rPr>
          <w:rFonts w:ascii="PingFang SC" w:cs="PingFang SC" w:eastAsia="PingFang SC" w:hAnsi="PingFang SC"/>
          <w:b/>
          <w:bCs/>
          <w:color w:val="141414"/>
          <w:sz w:val="26"/>
          <w:szCs w:val="26"/>
        </w:rPr>
        <w:t xml:space="preserve">Lam Research</w:t>
      </w:r>
      <w:r>
        <w:rPr>
          <w:rFonts w:ascii="Menlo" w:cs="Menlo" w:eastAsia="Menlo" w:hAnsi="Menlo"/>
          <w:color w:val="999999"/>
          <w:sz w:val="14"/>
          <w:szCs w:val="14"/>
        </w:rPr>
        <w:t xml:space="preserve">	NASDAQ: LRCX</w:t>
      </w:r>
    </w:p>
    <w:p>
      <w:pPr>
        <w:pBdr>
          <w:left w:val="single" w:color="c0392b" w:sz="12" w:space="12"/>
        </w:pBdr>
        <w:shd w:fill="fdf8f7" w:val="clear"/>
        <w:spacing w:after="120"/>
      </w:pPr>
      <w:r>
        <w:rPr>
          <w:rFonts w:ascii="PingFang SC" w:cs="PingFang SC" w:eastAsia="PingFang SC" w:hAnsi="PingFang SC"/>
          <w:b/>
          <w:bCs/>
          <w:color w:val="1a1a1a"/>
          <w:sz w:val="20"/>
          <w:szCs w:val="20"/>
        </w:rPr>
        <w:t xml:space="preserve">连续四个季度超预期，Q2 FY2026 营收 $53.4 亿（同比 +22%），Q3 指引 $57 亿显示持续加速。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Apr 7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Morgan Stanley 上调目标价至 $260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Apr 22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即将发布 Q3 财报，关注 GAA 节奏及中国收入占比</w:t>
      </w:r>
    </w:p>
    <w:p>
      <w:pPr>
        <w:pBdr>
          <w:bottom w:val="single" w:color="efefef" w:sz="1" w:space="8"/>
        </w:pBdr>
        <w:spacing w:after="200" w:before="200"/>
      </w:pPr>
    </w:p>
    <w:p>
      <w:pPr>
        <w:tabs>
          <w:tab w:val="right" w:pos="9026"/>
        </w:tabs>
        <w:spacing w:after="60" w:before="240"/>
      </w:pPr>
      <w:r>
        <w:rPr>
          <w:rFonts w:ascii="PingFang SC" w:cs="PingFang SC" w:eastAsia="PingFang SC" w:hAnsi="PingFang SC"/>
          <w:b/>
          <w:bCs/>
          <w:color w:val="141414"/>
          <w:sz w:val="26"/>
          <w:szCs w:val="26"/>
        </w:rPr>
        <w:t xml:space="preserve">ASML Holding</w:t>
      </w:r>
      <w:r>
        <w:rPr>
          <w:rFonts w:ascii="Menlo" w:cs="Menlo" w:eastAsia="Menlo" w:hAnsi="Menlo"/>
          <w:color w:val="999999"/>
          <w:sz w:val="14"/>
          <w:szCs w:val="14"/>
        </w:rPr>
        <w:t xml:space="preserve">	EURONEXT: ASML</w:t>
      </w:r>
    </w:p>
    <w:p>
      <w:pPr>
        <w:pBdr>
          <w:left w:val="single" w:color="c0392b" w:sz="12" w:space="12"/>
        </w:pBdr>
        <w:shd w:fill="fdf8f7" w:val="clear"/>
        <w:spacing w:after="120"/>
      </w:pPr>
      <w:r>
        <w:rPr>
          <w:rFonts w:ascii="PingFang SC" w:cs="PingFang SC" w:eastAsia="PingFang SC" w:hAnsi="PingFang SC"/>
          <w:b/>
          <w:bCs/>
          <w:color w:val="1a1a1a"/>
          <w:sz w:val="20"/>
          <w:szCs w:val="20"/>
        </w:rPr>
        <w:t xml:space="preserve">MATCH Act 冲击下股价单日跌 4.7%，但随后因美伊停火反弹 6.35%。High-NA EUV 进入商用部署阶段。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订单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SK Hynix 承诺 $80 亿采购 ~30 台 EUV；Samsung 计划 $40 亿采购 ~20 台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High-NA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首批商用 EXE:5200B 已交付 Intel，2026 预计出货 5-10 台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Apr 15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Q1 财报发布 | 指引：2026 净销售额 340-390 亿欧元</w:t>
      </w:r>
    </w:p>
    <w:p>
      <w:pPr>
        <w:pBdr>
          <w:bottom w:val="single" w:color="efefef" w:sz="1" w:space="8"/>
        </w:pBdr>
        <w:spacing w:after="200" w:before="200"/>
      </w:pPr>
    </w:p>
    <w:p>
      <w:pPr>
        <w:tabs>
          <w:tab w:val="right" w:pos="9026"/>
        </w:tabs>
        <w:spacing w:after="60" w:before="240"/>
      </w:pPr>
      <w:r>
        <w:rPr>
          <w:rFonts w:ascii="PingFang SC" w:cs="PingFang SC" w:eastAsia="PingFang SC" w:hAnsi="PingFang SC"/>
          <w:b/>
          <w:bCs/>
          <w:color w:val="141414"/>
          <w:sz w:val="26"/>
          <w:szCs w:val="26"/>
        </w:rPr>
        <w:t xml:space="preserve">Tokyo Electron / KLA</w:t>
      </w:r>
      <w:r>
        <w:rPr>
          <w:rFonts w:ascii="Menlo" w:cs="Menlo" w:eastAsia="Menlo" w:hAnsi="Menlo"/>
          <w:color w:val="999999"/>
          <w:sz w:val="14"/>
          <w:szCs w:val="14"/>
        </w:rPr>
        <w:t xml:space="preserve">	TSE: 8035 / NASDAQ: KLAC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TEL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先进芯片设备占比提升至 40%，资本支出增 48% 至 2400 亿日元创新高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KLA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宣布 $70 亿回购计划，连续第 17 年提高股息</w:t>
      </w:r>
    </w:p>
    <w:p>
      <w:pPr>
        <w:pBdr>
          <w:bottom w:val="single" w:color="efefef" w:sz="1" w:space="8"/>
        </w:pBdr>
        <w:spacing w:after="200" w:before="200"/>
      </w:pPr>
    </w:p>
    <w:p>
      <w:r>
        <w:br w:type="page"/>
      </w: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04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前沿技术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TECH FRONTIER</w:t>
      </w: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GAA 与背面供电进入量产倒计时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TSMC N2P（2nm + 背面供电）计划 2026 下半年投产；A16（1.6nm + Super Power Rail）紧随其后。背面供电可降低电压降和供电噪声，但与 GAA 集成带来应力管理挑战。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High-NA EUV 从研发走向量产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Imec 接收 EXE:5200 系统（3 月 18 日），Q4 完成验证。Intel 安装商用 EXE:5200B 用于 14A 节点。2026 年预计交付 5-10 台，2028 年增至 20+ 台。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SEMI 全球设备支出展望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300mm 设备支出预计 2026 年增长 18% 至 $1,330 亿，2027 年增长 14% 至 $1,510 亿。AI、先进逻辑、存储及先进封装为主要驱动力。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05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中国半导体动态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CHINA SEMICONDUCTOR</w:t>
      </w:r>
    </w:p>
    <w:p>
      <w:pPr>
        <w:spacing w:after="60" w:before="200"/>
      </w:pPr>
      <w:r>
        <w:rPr>
          <w:rFonts w:ascii="PingFang SC" w:cs="PingFang SC" w:eastAsia="PingFang SC" w:hAnsi="PingFang SC"/>
          <w:b/>
          <w:bCs/>
          <w:color w:val="1a1a1a"/>
          <w:sz w:val="22"/>
          <w:szCs w:val="22"/>
        </w:rPr>
        <w:t xml:space="preserve">北方华创</w:t>
      </w:r>
      <w:r>
        <w:rPr>
          <w:rFonts w:ascii="Menlo" w:cs="Menlo" w:eastAsia="Menlo" w:hAnsi="Menlo"/>
          <w:color w:val="999999"/>
          <w:sz w:val="14"/>
          <w:szCs w:val="14"/>
        </w:rPr>
        <w:t xml:space="preserve">  002371.SZ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新品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12 英寸 NMC612H ICP 刻蚀、Qomola HPD30 混合键合、Ausip T830 TSV 电镀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验证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刻蚀设备已在 SMIC 7nm 产线测试</w:t>
      </w:r>
    </w:p>
    <w:p>
      <w:pPr>
        <w:spacing w:after="60" w:before="200"/>
      </w:pPr>
      <w:r>
        <w:rPr>
          <w:rFonts w:ascii="PingFang SC" w:cs="PingFang SC" w:eastAsia="PingFang SC" w:hAnsi="PingFang SC"/>
          <w:b/>
          <w:bCs/>
          <w:color w:val="1a1a1a"/>
          <w:sz w:val="22"/>
          <w:szCs w:val="22"/>
        </w:rPr>
        <w:t xml:space="preserve">中微公司</w:t>
      </w:r>
      <w:r>
        <w:rPr>
          <w:rFonts w:ascii="Menlo" w:cs="Menlo" w:eastAsia="Menlo" w:hAnsi="Menlo"/>
          <w:color w:val="999999"/>
          <w:sz w:val="14"/>
          <w:szCs w:val="14"/>
        </w:rPr>
        <w:t xml:space="preserve">  688012.SH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新品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Primo Angnova ICP 刻蚀、Primo Domingo 高选择性刻蚀、Smart RF Match、Preciomo Udx Micro LED MOCVD</w:t>
      </w:r>
    </w:p>
    <w:p>
      <w:pPr>
        <w:spacing w:after="60" w:before="200"/>
      </w:pPr>
      <w:r>
        <w:rPr>
          <w:rFonts w:ascii="PingFang SC" w:cs="PingFang SC" w:eastAsia="PingFang SC" w:hAnsi="PingFang SC"/>
          <w:b/>
          <w:bCs/>
          <w:color w:val="1a1a1a"/>
          <w:sz w:val="22"/>
          <w:szCs w:val="22"/>
        </w:rPr>
        <w:t xml:space="preserve">新凯来</w:t>
      </w:r>
      <w:r>
        <w:rPr>
          <w:rFonts w:ascii="Menlo" w:cs="Menlo" w:eastAsia="Menlo" w:hAnsi="Menlo"/>
          <w:color w:val="999999"/>
          <w:sz w:val="14"/>
          <w:szCs w:val="14"/>
        </w:rPr>
        <w:t xml:space="preserve">  深圳国资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新品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SEMICON China 发布 EPI、ALD、PVD、ETCH、CVD 五款设备，对标 5nm</w:t>
      </w:r>
    </w:p>
    <w:p>
      <w:pPr>
        <w:spacing w:after="60" w:before="200"/>
      </w:pPr>
      <w:r>
        <w:rPr>
          <w:rFonts w:ascii="PingFang SC" w:cs="PingFang SC" w:eastAsia="PingFang SC" w:hAnsi="PingFang SC"/>
          <w:b/>
          <w:bCs/>
          <w:color w:val="1a1a1a"/>
          <w:sz w:val="22"/>
          <w:szCs w:val="22"/>
        </w:rPr>
        <w:t xml:space="preserve">盛合晶微半导体</w:t>
      </w:r>
      <w:r>
        <w:rPr>
          <w:rFonts w:ascii="Menlo" w:cs="Menlo" w:eastAsia="Menlo" w:hAnsi="Menlo"/>
          <w:color w:val="999999"/>
          <w:sz w:val="14"/>
          <w:szCs w:val="14"/>
        </w:rPr>
        <w:t xml:space="preserve">  IPO</w:t>
      </w:r>
    </w:p>
    <w:p>
      <w:pPr>
        <w:tabs>
          <w:tab w:val="left" w:pos="1200"/>
        </w:tabs>
        <w:spacing w:after="100"/>
      </w:pPr>
      <w:r>
        <w:rPr>
          <w:rFonts w:ascii="Menlo" w:cs="Menlo" w:eastAsia="Menlo" w:hAnsi="Menlo"/>
          <w:color w:val="999999"/>
          <w:sz w:val="15"/>
          <w:szCs w:val="15"/>
        </w:rPr>
        <w:t xml:space="preserve">Apr 9</w:t>
      </w:r>
      <w:r>
        <w:t xml:space="preserve">	</w:t>
      </w:r>
      <w:r>
        <w:rPr>
          <w:rFonts w:ascii="PingFang SC" w:cs="PingFang SC" w:eastAsia="PingFang SC" w:hAnsi="PingFang SC"/>
          <w:color w:val="333333"/>
          <w:sz w:val="20"/>
          <w:szCs w:val="20"/>
        </w:rPr>
        <w:t xml:space="preserve">科创板 IPO，发行价 19.68 元/股</w:t>
      </w:r>
    </w:p>
    <w:p>
      <w:pPr>
        <w:spacing w:before="200"/>
      </w:pPr>
    </w:p>
    <w:tbl>
      <w:tblPr>
        <w:tblW w:type="dxa" w:w="8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6"/>
      </w:tblGrid>
      <w:tr>
        <w:tc>
          <w:tcPr>
            <w:tcW w:type="dxa" w:w="8746"/>
            <w:tcBorders>
              <w:top w:val="single" w:color="efefef" w:sz="1"/>
              <w:left w:val="single" w:color="141414" w:sz="12"/>
              <w:bottom w:val="single" w:color="efefef" w:sz="1"/>
              <w:right w:val="single" w:color="efefef" w:sz="1"/>
            </w:tcBorders>
            <w:shd w:fill="f5f5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nlo" w:cs="Menlo" w:eastAsia="Menlo" w:hAnsi="Menlo"/>
                <w:color w:val="999999"/>
                <w:sz w:val="13"/>
                <w:szCs w:val="13"/>
              </w:rPr>
              <w:t xml:space="preserve">POLICY &amp; OUTLOOK</w:t>
            </w:r>
          </w:p>
          <w:p>
            <w:pPr>
              <w:spacing w:after="0"/>
            </w:pPr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中国要求新建产能使用不低于 50% 国产设备，目标 2030 年半导体自给率达 80%（现约 33%）。SMIC 发布 2026 行动计划聚焦供应链本土化。2025 年中国 WFE 预计同比 -13%，2026 年回升 +5%。</w:t>
            </w:r>
          </w:p>
        </w:tc>
      </w:tr>
    </w:tbl>
    <w:p>
      <w:r>
        <w:br w:type="page"/>
      </w: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06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学术与研究前沿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ACADEMIC &amp; RESEARCH</w:t>
      </w: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Imec 120 层 Si/SiGe 外延堆叠突破 3D DRAM 瓶颈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Imec 联合根特大学在 300mm 晶圆上成功堆叠 120 层交替 Si/SiGe 双层（共 241 子层），发表于 Journal of Applied Physics。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Nature Electronics: 碳纳米管晶体管突破 1 THz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基于对齐碳纳米管薄膜的 MOSFET 实现截止频率超 1 THz，栅极长度 80nm，载流子迁移率超 3,000 cm²/V·s。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Imec + Diraq: 工厂制造硅量子比特达 99%+ 保真度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在标准半导体产线上制造的硅量子比特一致性超过 99% 精度，发表于 Nature。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CFET（互补 FET）路线图加速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Imec 推进 CFET 单片集成与顺序集成方案。全芯片评估显示 CFET 相比 Nanosheet FET 可实现面积缩减 ~55%、功耗降低 ~29%。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07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AI 与智能化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AI &amp; SMART MANUFACTURING</w:t>
      </w: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Intel 将 AI 嵌入晶圆厂核心流程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AI 缺陷检测精度已超人工检测员，NVIDIA NV-DINOv2 视觉模型达 98.5% die 级缺陷分类精度。先进逻辑晶圆厂每 1% 良率提升 ≈ $1.5 亿利润。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EDA 进入 Agent 时代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Cadence 发布 ChipStack AI Agent（10x 生产力），Synopsys 推出 AgentEngineer。NVIDIA 投资 $20 亿入股 Synopsys。新锐 Cognichip 融资 $6,000 万。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AI 芯片新品密集发布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Samsung 出货首批商用 HBM4（11.7 Gbps）；Microsoft Maia 200 推理加速器（TSMC 3nm）；韩国 Rebellions 完成 $4 亿 Pre-IPO；华为 950PR 推理芯片获字节、阿里大单。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RISC-V 进入量产汽车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Bosch、Infineon、Nordic、NXP、Qualcomm 五家成立德国合资公司聚焦车规 RISC-V。零跑 LingXin01 SoC 用于 ADAS；长城紫荆 M100 MCU 已搭载新车型。</w:t>
      </w:r>
    </w:p>
    <w:p>
      <w:pPr>
        <w:pBdr>
          <w:bottom w:val="single" w:color="efefef" w:sz="1" w:space="8"/>
        </w:pBdr>
        <w:spacing w:after="200" w:before="200"/>
      </w:pPr>
    </w:p>
    <w:p>
      <w:r>
        <w:br w:type="page"/>
      </w: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08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政策与地缘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POLICY &amp; GEOPOLITICS</w:t>
      </w:r>
    </w:p>
    <w:p>
      <w:pPr>
        <w:spacing w:after="40"/>
      </w:pPr>
      <w:r>
        <w:rPr>
          <w:rFonts w:ascii="Menlo" w:cs="Menlo" w:eastAsia="Menlo" w:hAnsi="Menlo"/>
          <w:color w:val="666666"/>
          <w:sz w:val="13"/>
          <w:szCs w:val="13"/>
        </w:rPr>
        <w:t xml:space="preserve">U.S. CONGRESS</w:t>
      </w: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MATCH Act：封堵 DUV 对华出口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4 月 2 日众议院推出 MATCH Act，目标收紧 ASML DUV 光刻机对华出口，施压荷兰、日本盟友全面对齐美国管制标准。JPMorgan 估计若实施，ASML EPS 可能下降 10%。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/>
      </w:pPr>
      <w:r>
        <w:rPr>
          <w:rFonts w:ascii="Menlo" w:cs="Menlo" w:eastAsia="Menlo" w:hAnsi="Menlo"/>
          <w:color w:val="666666"/>
          <w:sz w:val="13"/>
          <w:szCs w:val="13"/>
        </w:rPr>
        <w:t xml:space="preserve">U.S. TARIFF</w:t>
      </w: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Section 232 半导体关税生效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1 月 15 日起对特定先进芯片征收 25% 关税（涵盖 Nvidia H200、AMD MI325X 等），但豁免数据中心、研发等场景。7 月 1 日将评估是否扩大范围。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/>
      </w:pPr>
      <w:r>
        <w:rPr>
          <w:rFonts w:ascii="Menlo" w:cs="Menlo" w:eastAsia="Menlo" w:hAnsi="Menlo"/>
          <w:color w:val="666666"/>
          <w:sz w:val="13"/>
          <w:szCs w:val="13"/>
        </w:rPr>
        <w:t xml:space="preserve">CHIPS ACT</w:t>
      </w:r>
    </w:p>
    <w:p>
      <w:pPr>
        <w:spacing w:after="80"/>
      </w:pPr>
      <w:r>
        <w:rPr>
          <w:rFonts w:ascii="PingFang SC" w:cs="PingFang SC" w:eastAsia="PingFang SC" w:hAnsi="PingFang SC"/>
          <w:b/>
          <w:bCs/>
          <w:color w:val="1a1a1a"/>
          <w:sz w:val="24"/>
          <w:szCs w:val="24"/>
        </w:rPr>
        <w:t xml:space="preserve">CHIPS Act 税收优惠面临到期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333333"/>
          <w:sz w:val="21"/>
          <w:szCs w:val="21"/>
        </w:rPr>
        <w:t xml:space="preserve">TSMC 宣布追加 $1,000 亿美国投资。但 Section 48D 先进制造投资税收抵免将于 2026 年到期，续期前景不明。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09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产业格局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INDUSTRY LANDSCAPE</w:t>
      </w:r>
    </w:p>
    <w:tbl>
      <w:tblPr>
        <w:tblW w:type="dxa" w:w="8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6"/>
      </w:tblGrid>
      <w:tr>
        <w:tc>
          <w:tcPr>
            <w:tcW w:type="dxa" w:w="8746"/>
            <w:tcBorders>
              <w:top w:val="single" w:color="efefef" w:sz="1"/>
              <w:left w:val="single" w:color="141414" w:sz="12"/>
              <w:bottom w:val="single" w:color="efefef" w:sz="1"/>
              <w:right w:val="single" w:color="efefef" w:sz="1"/>
            </w:tcBorders>
            <w:shd w:fill="f5f5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nlo" w:cs="Menlo" w:eastAsia="Menlo" w:hAnsi="Menlo"/>
                <w:color w:val="999999"/>
                <w:sz w:val="13"/>
                <w:szCs w:val="13"/>
              </w:rPr>
              <w:t xml:space="preserve">FAB EXPANSION</w:t>
            </w:r>
          </w:p>
          <w:p>
            <w:pPr>
              <w:spacing w:after="0"/>
            </w:pPr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TSMC 亚利桑那规模扩大至最多 12 座晶圆厂 + 4 座先进封装厂；台湾同步推进 10 座新厂。全球 2025 年新开工 18 个晶圆厂项目（3 座 200mm + 15 座 300mm），美洲和日本各 4 个领跑。</w:t>
            </w:r>
          </w:p>
        </w:tc>
      </w:tr>
    </w:tbl>
    <w:p>
      <w:r>
        <w:br w:type="page"/>
      </w: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10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值得一读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WORTH READING</w:t>
      </w:r>
    </w:p>
    <w:p>
      <w:pPr>
        <w:spacing w:after="40" w:before="200"/>
      </w:pPr>
      <w:r>
        <w:rPr>
          <w:rFonts w:ascii="Menlo" w:cs="Menlo" w:eastAsia="Menlo" w:hAnsi="Menlo"/>
          <w:color w:val="efefef"/>
          <w:sz w:val="28"/>
          <w:szCs w:val="28"/>
        </w:rPr>
        <w:t xml:space="preserve">01</w:t>
      </w:r>
      <w:r>
        <w:rPr>
          <w:rFonts w:ascii="PingFang SC" w:cs="PingFang SC" w:eastAsia="PingFang SC" w:hAnsi="PingFang SC"/>
          <w:b/>
          <w:bCs/>
          <w:color w:val="1a1a1a"/>
          <w:sz w:val="21"/>
          <w:szCs w:val="21"/>
        </w:rPr>
        <w:t xml:space="preserve">  SEMI: Global 300mm Fab Equipment Spending to Reach $151B by 2027</w:t>
      </w:r>
    </w:p>
    <w:p>
      <w:pPr>
        <w:spacing w:after="4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SEMI.org · Apr 8, 2026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666666"/>
          <w:sz w:val="18"/>
          <w:szCs w:val="18"/>
        </w:rPr>
        <w:t xml:space="preserve">SEMI 最新预测报告，详细拆解各地区、各环节设备投资趋势。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 w:before="200"/>
      </w:pPr>
      <w:r>
        <w:rPr>
          <w:rFonts w:ascii="Menlo" w:cs="Menlo" w:eastAsia="Menlo" w:hAnsi="Menlo"/>
          <w:color w:val="efefef"/>
          <w:sz w:val="28"/>
          <w:szCs w:val="28"/>
        </w:rPr>
        <w:t xml:space="preserve">02</w:t>
      </w:r>
      <w:r>
        <w:rPr>
          <w:rFonts w:ascii="PingFang SC" w:cs="PingFang SC" w:eastAsia="PingFang SC" w:hAnsi="PingFang SC"/>
          <w:b/>
          <w:bCs/>
          <w:color w:val="1a1a1a"/>
          <w:sz w:val="21"/>
          <w:szCs w:val="21"/>
        </w:rPr>
        <w:t xml:space="preserve">  Backside Power Delivery Nears Production</w:t>
      </w:r>
    </w:p>
    <w:p>
      <w:pPr>
        <w:spacing w:after="4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SemiEngineering · Mar 2026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666666"/>
          <w:sz w:val="18"/>
          <w:szCs w:val="18"/>
        </w:rPr>
        <w:t xml:space="preserve">深度解析背面供电技术的量产挑战，涵盖 TSMC、Intel、Samsung 的不同技术路线。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 w:before="200"/>
      </w:pPr>
      <w:r>
        <w:rPr>
          <w:rFonts w:ascii="Menlo" w:cs="Menlo" w:eastAsia="Menlo" w:hAnsi="Menlo"/>
          <w:color w:val="efefef"/>
          <w:sz w:val="28"/>
          <w:szCs w:val="28"/>
        </w:rPr>
        <w:t xml:space="preserve">03</w:t>
      </w:r>
      <w:r>
        <w:rPr>
          <w:rFonts w:ascii="PingFang SC" w:cs="PingFang SC" w:eastAsia="PingFang SC" w:hAnsi="PingFang SC"/>
          <w:b/>
          <w:bCs/>
          <w:color w:val="1a1a1a"/>
          <w:sz w:val="21"/>
          <w:szCs w:val="21"/>
        </w:rPr>
        <w:t xml:space="preserve">  THz Carbon Nanotube Transistors — Nature Electronics</w:t>
      </w:r>
    </w:p>
    <w:p>
      <w:pPr>
        <w:spacing w:after="4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Nature Electronics · 2026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666666"/>
          <w:sz w:val="18"/>
          <w:szCs w:val="18"/>
        </w:rPr>
        <w:t xml:space="preserve">碳纳米管 MOSFET 截止频率突破 1 THz，后硅时代高频器件里程碑。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 w:before="200"/>
      </w:pPr>
      <w:r>
        <w:rPr>
          <w:rFonts w:ascii="Menlo" w:cs="Menlo" w:eastAsia="Menlo" w:hAnsi="Menlo"/>
          <w:color w:val="efefef"/>
          <w:sz w:val="28"/>
          <w:szCs w:val="28"/>
        </w:rPr>
        <w:t xml:space="preserve">04</w:t>
      </w:r>
      <w:r>
        <w:rPr>
          <w:rFonts w:ascii="PingFang SC" w:cs="PingFang SC" w:eastAsia="PingFang SC" w:hAnsi="PingFang SC"/>
          <w:b/>
          <w:bCs/>
          <w:color w:val="1a1a1a"/>
          <w:sz w:val="21"/>
          <w:szCs w:val="21"/>
        </w:rPr>
        <w:t xml:space="preserve">  MATCH Act: What It Means for Semiconductor Equipment Exports</w:t>
      </w:r>
    </w:p>
    <w:p>
      <w:pPr>
        <w:spacing w:after="4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Bloomberg · Apr 2, 2026</w:t>
      </w:r>
    </w:p>
    <w:p>
      <w:pPr>
        <w:spacing w:after="160"/>
      </w:pPr>
      <w:r>
        <w:rPr>
          <w:rFonts w:ascii="PingFang SC" w:cs="PingFang SC" w:eastAsia="PingFang SC" w:hAnsi="PingFang SC"/>
          <w:b w:val="false"/>
          <w:bCs w:val="false"/>
          <w:color w:val="666666"/>
          <w:sz w:val="18"/>
          <w:szCs w:val="18"/>
        </w:rPr>
        <w:t xml:space="preserve">法案全文解读与影响分析，重点关注对 ASML DUV 业务及日荷盟友的连锁反应。</w:t>
      </w:r>
    </w:p>
    <w:p>
      <w:pPr>
        <w:pBdr>
          <w:bottom w:val="single" w:color="efefef" w:sz="1" w:space="8"/>
        </w:pBdr>
        <w:spacing w:after="200" w:before="200"/>
      </w:pPr>
    </w:p>
    <w:p>
      <w:pPr>
        <w:spacing w:after="40" w:before="360"/>
      </w:pPr>
      <w:r>
        <w:rPr>
          <w:rFonts w:ascii="Menlo" w:cs="Menlo" w:eastAsia="Menlo" w:hAnsi="Menlo"/>
          <w:b/>
          <w:bCs/>
          <w:color w:val="c0392b"/>
          <w:sz w:val="14"/>
          <w:szCs w:val="14"/>
        </w:rPr>
        <w:t xml:space="preserve">11</w:t>
      </w:r>
    </w:p>
    <w:p>
      <w:pPr>
        <w:spacing w:after="40"/>
      </w:pPr>
      <w:r>
        <w:rPr>
          <w:rFonts w:ascii="PingFang SC" w:cs="PingFang SC" w:eastAsia="PingFang SC" w:hAnsi="PingFang SC"/>
          <w:b/>
          <w:bCs/>
          <w:color w:val="141414"/>
          <w:sz w:val="36"/>
          <w:szCs w:val="36"/>
        </w:rPr>
        <w:t xml:space="preserve">关键日程</w:t>
      </w:r>
    </w:p>
    <w:p>
      <w:pPr>
        <w:spacing w:after="280"/>
      </w:pPr>
      <w:r>
        <w:rPr>
          <w:rFonts w:ascii="Menlo" w:cs="Menlo" w:eastAsia="Menlo" w:hAnsi="Menlo"/>
          <w:color w:val="999999"/>
          <w:sz w:val="14"/>
          <w:szCs w:val="14"/>
        </w:rPr>
        <w:t xml:space="preserve">UPCOMING EVENTS</w:t>
      </w:r>
    </w:p>
    <w:tbl>
      <w:tblPr>
        <w:tblW w:type="dxa" w:w="8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746"/>
      </w:tblGrid>
      <w:tr>
        <w:tc>
          <w:tcPr>
            <w:tcW w:type="dxa" w:w="2000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color w:val="999999"/>
                <w:sz w:val="16"/>
                <w:szCs w:val="16"/>
              </w:rPr>
              <w:t xml:space="preserve">Apr 15</w:t>
            </w:r>
          </w:p>
        </w:tc>
        <w:tc>
          <w:tcPr>
            <w:tcW w:type="dxa" w:w="6746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ASML Q1 2026 财报发布</w:t>
            </w:r>
          </w:p>
        </w:tc>
      </w:tr>
      <w:tr>
        <w:tc>
          <w:tcPr>
            <w:tcW w:type="dxa" w:w="2000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color w:val="999999"/>
                <w:sz w:val="16"/>
                <w:szCs w:val="16"/>
              </w:rPr>
              <w:t xml:space="preserve">Apr 22</w:t>
            </w:r>
          </w:p>
        </w:tc>
        <w:tc>
          <w:tcPr>
            <w:tcW w:type="dxa" w:w="6746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Lam Research Q3 FY2026 财报发布</w:t>
            </w:r>
          </w:p>
        </w:tc>
      </w:tr>
      <w:tr>
        <w:tc>
          <w:tcPr>
            <w:tcW w:type="dxa" w:w="2000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color w:val="999999"/>
                <w:sz w:val="16"/>
                <w:szCs w:val="16"/>
              </w:rPr>
              <w:t xml:space="preserve">Apr 22</w:t>
            </w:r>
          </w:p>
        </w:tc>
        <w:tc>
          <w:tcPr>
            <w:tcW w:type="dxa" w:w="6746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ASML 年度股东大会</w:t>
            </w:r>
          </w:p>
        </w:tc>
      </w:tr>
      <w:tr>
        <w:tc>
          <w:tcPr>
            <w:tcW w:type="dxa" w:w="2000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color w:val="999999"/>
                <w:sz w:val="16"/>
                <w:szCs w:val="16"/>
              </w:rPr>
              <w:t xml:space="preserve">Apr 24</w:t>
            </w:r>
          </w:p>
        </w:tc>
        <w:tc>
          <w:tcPr>
            <w:tcW w:type="dxa" w:w="6746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ASML 每股 2.70 欧元现金股息</w:t>
            </w:r>
          </w:p>
        </w:tc>
      </w:tr>
      <w:tr>
        <w:tc>
          <w:tcPr>
            <w:tcW w:type="dxa" w:w="2000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color w:val="999999"/>
                <w:sz w:val="16"/>
                <w:szCs w:val="16"/>
              </w:rPr>
              <w:t xml:space="preserve">Apr 29</w:t>
            </w:r>
          </w:p>
        </w:tc>
        <w:tc>
          <w:tcPr>
            <w:tcW w:type="dxa" w:w="6746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KLA Q3 FY2026 财报发布</w:t>
            </w:r>
          </w:p>
        </w:tc>
      </w:tr>
      <w:tr>
        <w:tc>
          <w:tcPr>
            <w:tcW w:type="dxa" w:w="2000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color w:val="999999"/>
                <w:sz w:val="16"/>
                <w:szCs w:val="16"/>
              </w:rPr>
              <w:t xml:space="preserve">Apr 30</w:t>
            </w:r>
          </w:p>
        </w:tc>
        <w:tc>
          <w:tcPr>
            <w:tcW w:type="dxa" w:w="6746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Tokyo Electron 全年财报发布</w:t>
            </w:r>
          </w:p>
        </w:tc>
      </w:tr>
      <w:tr>
        <w:tc>
          <w:tcPr>
            <w:tcW w:type="dxa" w:w="2000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enlo" w:cs="Menlo" w:eastAsia="Menlo" w:hAnsi="Menlo"/>
                <w:color w:val="999999"/>
                <w:sz w:val="16"/>
                <w:szCs w:val="16"/>
              </w:rPr>
              <w:t xml:space="preserve">Jun 14</w:t>
            </w:r>
          </w:p>
        </w:tc>
        <w:tc>
          <w:tcPr>
            <w:tcW w:type="dxa" w:w="6746"/>
            <w:tcBorders>
              <w:top w:val="single" w:color="efefef" w:sz="1"/>
              <w:left w:val="single" w:color="efefef" w:sz="1"/>
              <w:bottom w:val="single" w:color="efefef" w:sz="1"/>
              <w:right w:val="single" w:color="efefef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333333"/>
                <w:sz w:val="20"/>
                <w:szCs w:val="20"/>
              </w:rPr>
              <w:t xml:space="preserve">VLSI Symposium 2026 檀香山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580" w:right="1580" w:bottom="1580" w:left="15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fefef" w:sz="1" w:space="6"/>
      </w:pBdr>
      <w:tabs>
        <w:tab w:val="right" w:pos="9026"/>
      </w:tabs>
    </w:pPr>
    <w:r>
      <w:rPr>
        <w:rFonts w:ascii="Menlo" w:cs="Menlo" w:eastAsia="Menlo" w:hAnsi="Menlo"/>
        <w:color w:val="999999"/>
        <w:sz w:val="13"/>
        <w:szCs w:val="13"/>
      </w:rPr>
      <w:t xml:space="preserve">Confidential</w:t>
    </w:r>
    <w:r>
      <w:t xml:space="preserve">	</w:t>
    </w:r>
    <w:r>
      <w:rPr>
        <w:rFonts w:ascii="Menlo" w:cs="Menlo" w:eastAsia="Menlo" w:hAnsi="Menlo"/>
        <w:color w:val="999999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999999"/>
        <w:sz w:val="13"/>
        <w:szCs w:val="13"/>
      </w:rPr>
      <w:t xml:space="preserve"> / </w:t>
    </w:r>
    <w:r>
      <w:rPr>
        <w:rFonts w:ascii="Menlo" w:cs="Menlo" w:eastAsia="Menlo" w:hAnsi="Menlo"/>
        <w:color w:val="999999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41414" w:sz="1" w:space="6"/>
      </w:pBdr>
      <w:tabs>
        <w:tab w:val="right" w:pos="9026"/>
      </w:tabs>
    </w:pPr>
    <w:r>
      <w:rPr>
        <w:rFonts w:ascii="PingFang SC" w:cs="PingFang SC" w:eastAsia="PingFang SC" w:hAnsi="PingFang SC"/>
        <w:b/>
        <w:bCs/>
        <w:color w:val="999999"/>
        <w:sz w:val="13"/>
        <w:szCs w:val="13"/>
      </w:rPr>
      <w:t xml:space="preserve">SEMICONDUCTOR WEEKLY</w:t>
    </w:r>
    <w:r>
      <w:rPr>
        <w:rFonts w:ascii="Menlo" w:cs="Menlo" w:eastAsia="Menlo" w:hAnsi="Menlo"/>
        <w:color w:val="999999"/>
        <w:sz w:val="13"/>
        <w:szCs w:val="13"/>
      </w:rPr>
      <w:t xml:space="preserve">	2026.04.07 — 04.09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2026-04-10T00:06:16.557Z</dcterms:created>
  <dcterms:modified xsi:type="dcterms:W3CDTF">2026-04-10T00:06:16.560Z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