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保证金扣划与解约违约条款</w:t>
      </w:r>
    </w:p>
    <w:p>
      <w:pPr>
        <w:pStyle w:val="Heading1"/>
      </w:pPr>
      <w:r>
        <w:t>保证金覆盖</w:t>
      </w:r>
    </w:p>
    <w:p>
      <w:r>
        <w:t>保证金用于覆盖商户在租赁期间可能发生的欠费、违约金、维修赔偿及其他合同约定费用。保证金覆盖率低于 90% 时，系统应提示履约缓冲不足；低于 60% 时，应同步触发财务复核、法务复核和招商备选品牌预案。</w:t>
      </w:r>
    </w:p>
    <w:p>
      <w:pPr>
        <w:pStyle w:val="Heading1"/>
      </w:pPr>
      <w:r>
        <w:t>保证金扣划条件</w:t>
      </w:r>
    </w:p>
    <w:p>
      <w:r>
        <w:t>如商户持续欠费且经书面催缴后仍未在指定期限内补缴，甲方可依据合同约定提出保证金扣划申请。扣划申请必须经过财务核验、法务审查和管理层审批。</w:t>
      </w:r>
    </w:p>
    <w:p>
      <w:pPr>
        <w:pStyle w:val="Heading1"/>
      </w:pPr>
      <w:r>
        <w:t>合同解除条件</w:t>
      </w:r>
    </w:p>
    <w:p>
      <w:r>
        <w:t>如商户存在长期欠费、擅自停业、擅自撤场、严重影响商场经营秩序、重大安全隐患或严重损害购物中心品牌形象等情形，甲方可启动合同解除评审。</w:t>
      </w:r>
    </w:p>
    <w:p>
      <w:pPr>
        <w:pStyle w:val="Heading1"/>
      </w:pPr>
      <w:r>
        <w:t>违约处置原则</w:t>
      </w:r>
    </w:p>
    <w:p>
      <w:r>
        <w:t>合同解除、清场、锁铺、品牌替换属于高风险管理动作，应以人工审批为前提。Agent 仅能根据证据生成待审批材料，不得替代审批人作出最终决定。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2837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deposit and termination clauses</dc:title>
  <dc:subject/>
  <dc:creator>Mall Risk Agent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