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商户租赁合同样本</w:t>
      </w:r>
    </w:p>
    <w:p>
      <w:r>
        <w:t>甲方：星河购物中心有限公司</w:t>
      </w:r>
    </w:p>
    <w:p>
      <w:r>
        <w:t>乙方：跃动工场体育文化有限公司</w:t>
      </w:r>
    </w:p>
    <w:p>
      <w:r>
        <w:t>门店编号：SHOP_093</w:t>
      </w:r>
    </w:p>
    <w:p>
      <w:r>
        <w:t>租赁位置：F3-312</w:t>
      </w:r>
    </w:p>
    <w:p>
      <w:r>
        <w:t>租赁用途：潮流运动及体验式零售</w:t>
      </w:r>
    </w:p>
    <w:p>
      <w:r>
        <w:t>合同期限：2025 年 1 月 1 日至 2027 年 12 月 31 日</w:t>
      </w:r>
    </w:p>
    <w:p>
      <w:pPr>
        <w:pStyle w:val="Heading1"/>
      </w:pPr>
      <w:r>
        <w:t>租金与费用</w:t>
      </w:r>
    </w:p>
    <w:p>
      <w:r>
        <w:t>乙方应于每月 5 日前支付当月固定租金、物业管理费、推广费及其他应付款项。若乙方逾期支付，甲方有权按照合同约定收取逾期违约金，并要求乙方在指定期限内完成补缴。</w:t>
      </w:r>
    </w:p>
    <w:p>
      <w:pPr>
        <w:pStyle w:val="Heading1"/>
      </w:pPr>
      <w:r>
        <w:t>经营义务</w:t>
      </w:r>
    </w:p>
    <w:p>
      <w:r>
        <w:t>乙方应保持正常营业状态，营业时间应符合购物中心统一管理要求。未经甲方书面同意，乙方不得擅自停业、缩短营业时间、转租、分租、撤场或改变经营业态。</w:t>
      </w:r>
    </w:p>
    <w:p>
      <w:pPr>
        <w:pStyle w:val="Heading1"/>
      </w:pPr>
      <w:r>
        <w:t>风险预警配合</w:t>
      </w:r>
    </w:p>
    <w:p>
      <w:r>
        <w:t>当乙方出现销售连续下滑、进店率异常、投诉集中、用电量异常下降或欠费等情形时，甲方有权要求乙方提交经营说明、整改计划、回款计划和现场核查材料。乙方应在收到通知后 2 个工作日内配合完成。</w:t>
      </w:r>
    </w:p>
    <w:p>
      <w:pPr>
        <w:pStyle w:val="Heading1"/>
      </w:pPr>
      <w:r>
        <w:t>审批边界</w:t>
      </w:r>
    </w:p>
    <w:p>
      <w:r>
        <w:t>涉及催缴函、律师函、保证金扣划、合同解除、锁铺、清场或品牌替换的事项，均应经过甲方内部财务、法务、招商和管理层审批后方可执行。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28374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merchant lease contract sample</dc:title>
  <dc:subject/>
  <dc:creator>Mall Risk Agent Demo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