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投诉处理记录</w:t>
      </w:r>
    </w:p>
    <w:p>
      <w:r>
        <w:t>记录周期：近 90 天</w:t>
      </w:r>
    </w:p>
    <w:p>
      <w:pPr>
        <w:pStyle w:val="Heading1"/>
      </w:pPr>
      <w:r>
        <w:t>谷雨面馆</w:t>
      </w:r>
    </w:p>
    <w:p>
      <w:r>
        <w:t>投诉次数：10 次。主要问题为排队时间长、菜品出品不稳定、服务响应慢。建议运营团队要求商户提交人员补充和出品标准化整改计划。</w:t>
      </w:r>
    </w:p>
    <w:p>
      <w:pPr>
        <w:pStyle w:val="Heading1"/>
      </w:pPr>
      <w:r>
        <w:t>跃动工场</w:t>
      </w:r>
    </w:p>
    <w:p>
      <w:r>
        <w:t>投诉次数：8 次。主要问题为课程预约难、顾问响应慢、店内体验区开放不稳定。结合销售下滑和水电费下降，应同步核查经营状态。</w:t>
      </w:r>
    </w:p>
    <w:p>
      <w:pPr>
        <w:pStyle w:val="Heading1"/>
      </w:pPr>
      <w:r>
        <w:t>MONO集物</w:t>
      </w:r>
    </w:p>
    <w:p>
      <w:r>
        <w:t>投诉次数：8 次。主要问题为退换货流程慢、活动价格解释不清。建议门店优化活动说明和售后响应机制。</w:t>
      </w:r>
    </w:p>
    <w:sectPr w:rsidR="00FC693F" w:rsidRPr="0006063C" w:rsidSect="00034616"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/>
      <w:b/>
      <w:bCs/>
      <w:color w:val="28374B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YaHei" w:hAnsi="Microsoft YaHei"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customer complaint followup</dc:title>
  <dc:subject/>
  <dc:creator>Mall Risk Agent Demo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