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欠费催收流程</w:t>
      </w:r>
    </w:p>
    <w:p>
      <w:pPr>
        <w:pStyle w:val="Heading1"/>
      </w:pPr>
      <w:r>
        <w:t>第一步：账务核验</w:t>
      </w:r>
    </w:p>
    <w:p>
      <w:r>
        <w:t>财务应核验欠费金额、欠费账龄、账单周期、部分回款、错误入账、减免审批和保证金余额。未完成账务核验前，不得直接进入法务处置。</w:t>
      </w:r>
    </w:p>
    <w:p>
      <w:pPr>
        <w:pStyle w:val="Heading1"/>
      </w:pPr>
      <w:r>
        <w:t>第二步：经营沟通</w:t>
      </w:r>
    </w:p>
    <w:p>
      <w:r>
        <w:t>楼层经理或商户对接人应联系商户确认欠费原因，区分临时资金周转、账单争议、经营恶化、撤店准备或拒绝履约。</w:t>
      </w:r>
    </w:p>
    <w:p>
      <w:pPr>
        <w:pStyle w:val="Heading1"/>
      </w:pPr>
      <w:r>
        <w:t>第三步：分级催缴</w:t>
      </w:r>
    </w:p>
    <w:p>
      <w:r>
        <w:t>轻度欠费由楼层经理提醒；中度欠费由财务生成书面催缴提醒；重度欠费由财务、法务、招商共同复核催缴函草稿。</w:t>
      </w:r>
    </w:p>
    <w:p>
      <w:pPr>
        <w:pStyle w:val="Heading1"/>
      </w:pPr>
      <w:r>
        <w:t>第四步：审批与执行</w:t>
      </w:r>
    </w:p>
    <w:p>
      <w:r>
        <w:t>催缴函、律师函、保证金扣划、合同解除、锁铺、清场或品牌替换必须进入人工审批。审批通过后方可执行。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837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arrears collection workflow</dc:title>
  <dc:subject/>
  <dc:creator>Mall Risk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