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风险分级处置规则</w:t>
      </w:r>
    </w:p>
    <w:p>
      <w:pPr>
        <w:pStyle w:val="Heading1"/>
      </w:pPr>
      <w:r>
        <w:t>低风险</w:t>
      </w:r>
    </w:p>
    <w:p>
      <w:r>
        <w:t>风险得分 0-29。保持常规监控，关注轻微销售波动、投诉变化和租售比观察项。</w:t>
      </w:r>
    </w:p>
    <w:p>
      <w:pPr>
        <w:pStyle w:val="Heading1"/>
      </w:pPr>
      <w:r>
        <w:t>中风险</w:t>
      </w:r>
    </w:p>
    <w:p>
      <w:r>
        <w:t>风险得分 30-54。需要楼层经理或运营团队进行专项复核，重点关注销售下滑、进店率偏低、转化率偏低、投诉上升和租售比压力。</w:t>
      </w:r>
    </w:p>
    <w:p>
      <w:pPr>
        <w:pStyle w:val="Heading1"/>
      </w:pPr>
      <w:r>
        <w:t>高风险</w:t>
      </w:r>
    </w:p>
    <w:p>
      <w:r>
        <w:t>风险得分 55-74。需要运营、招商、财务共同跟进，核查是否存在欠费、经营恶化、保证金覆盖不足和撤店迹象。</w:t>
      </w:r>
    </w:p>
    <w:p>
      <w:pPr>
        <w:pStyle w:val="Heading1"/>
      </w:pPr>
      <w:r>
        <w:t>极高风险</w:t>
      </w:r>
    </w:p>
    <w:p>
      <w:r>
        <w:t>风险得分 75-100。进入管理层专项复核。涉及催缴、法务函、保证金扣划、合同解除、锁铺、清场或品牌替换的事项必须人工审批。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837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grading playbook</dc:title>
  <dc:subject/>
  <dc:creator>Mall Risk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