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b/>
        </w:rPr>
        <w:t xml:space="preserve">RefSeq Target Unlearning Speaker Script</w:t>
      </w:r>
    </w:p>
    <w:p>
      <w:r>
        <w:rPr/>
        <w:t xml:space="preserve">First-person script written in clear American English.</w:t>
      </w:r>
    </w:p>
    <w:p>
      <w:pPr>
        <w:pStyle w:val="Heading1"/>
      </w:pPr>
      <w:r>
        <w:rPr>
          <w:b/>
        </w:rPr>
        <w:t xml:space="preserve">Slide 1 - Core question</w:t>
      </w:r>
    </w:p>
    <w:p>
      <w:r>
        <w:rPr/>
        <w:t xml:space="preserve">This week I focused on a basic question in our setup. Are we measuring a real capability inside Evo, or is the probe mostly picking up a shortcut in the data? I think we need to separate this into two steps. First, is the target itself something Evo should be able to represent? Second, can our probe measure that target in a reliable way? Only after those two steps are solid do the unlearning results become strong evidence.</w:t>
      </w:r>
    </w:p>
    <w:p>
      <w:pPr>
        <w:pStyle w:val="Heading1"/>
      </w:pPr>
      <w:r>
        <w:rPr>
          <w:b/>
        </w:rPr>
        <w:t xml:space="preserve">Slide 2 - Why I re-checked host tropism</w:t>
      </w:r>
    </w:p>
    <w:p>
      <w:r>
        <w:rPr/>
        <w:t xml:space="preserve">The original target was host tropism: given a viral sequence, predict whether it infects humans. That is a meaningful biological question, but the controlled split results made me worried. When I tested cross-taxonomy generalization, the performance dropped. To me, that suggests the model may not be learning a clean host-tropism signal. It may be using taxonomy, family, genus, or close sequence similarity instead.</w:t>
      </w:r>
    </w:p>
    <w:p>
      <w:pPr>
        <w:pStyle w:val="Heading1"/>
      </w:pPr>
      <w:r>
        <w:rPr>
          <w:b/>
        </w:rPr>
        <w:t xml:space="preserve">Slide 3 - Target clarification</w:t>
      </w:r>
    </w:p>
    <w:p>
      <w:r>
        <w:rPr/>
        <w:t xml:space="preserve">Because of that, I changed the target as a control check. I wanted to know whether the weak causal story came from the unlearning method, or from the target itself. The previous target was human host tropism, which is a higher-level phenotype and has strong shortcut risk. The current RefSeq implementation is different. It is not strict human-tropic versus non-human-tropic classification. It is Coronaviridae versus non-Coronaviridae viral sequences. I am using it as a sequence-level proxy to see whether Evo gives a cleaner and more focused signal.</w:t>
      </w:r>
    </w:p>
    <w:p>
      <w:pPr>
        <w:pStyle w:val="Heading1"/>
      </w:pPr>
      <w:r>
        <w:rPr>
          <w:b/>
        </w:rPr>
        <w:t xml:space="preserve">Slide 4 - Dataset construction</w:t>
      </w:r>
    </w:p>
    <w:p>
      <w:r>
        <w:rPr/>
        <w:t xml:space="preserve">For the new target, I built the dataset from NCBI RefSeq viral assemblies and NCBI taxonomy. The positive side comes from Coronaviridae lineage, and the negative side comes from other viral assemblies. I cleaned the sequences and cut them into fixed-length windows. The target-family records are split by species or group, and then matched negatives are assigned by split and length bin. So the dataset is label-balanced, but it is not the same as saying every possible shortcut is controlled. Family and genus composition can still matter.</w:t>
      </w:r>
    </w:p>
    <w:p>
      <w:pPr>
        <w:pStyle w:val="Heading1"/>
      </w:pPr>
      <w:r>
        <w:rPr>
          <w:b/>
        </w:rPr>
        <w:t xml:space="preserve">Slide 5 - Phase 1 workflow</w:t>
      </w:r>
    </w:p>
    <w:p>
      <w:r>
        <w:rPr/>
        <w:t xml:space="preserve">In Phase 1, I extracted Evo representations layer by layer. I used the normalized hidden representation and mean-pooled across valid tokens. Then I trained one simple linear probe for each layer. After that, I used activation patching to ask a more causal question: if I patch a layer, does the target probability move? This gives us both a readout view and a localization view.</w:t>
      </w:r>
    </w:p>
    <w:p>
      <w:pPr>
        <w:pStyle w:val="Heading1"/>
      </w:pPr>
      <w:r>
        <w:rPr>
          <w:b/>
        </w:rPr>
        <w:t xml:space="preserve">Slide 6 - Phase 1 figure</w:t>
      </w:r>
    </w:p>
    <w:p>
      <w:r>
        <w:rPr/>
        <w:t xml:space="preserve">This figure shows the Phase 1 result. On the left, the target is very easy to read from early and middle layers. On the right, activation patching points to a narrower region. The selected region is layers five through nine, with layer six as the strongest layer. Compared with the earlier host-tropism setup, this looks more focused. But the very strong probe result is also a warning sign, because it could still come from taxonomy or sequence statistics.</w:t>
      </w:r>
    </w:p>
    <w:p>
      <w:pPr>
        <w:pStyle w:val="Heading1"/>
      </w:pPr>
      <w:r>
        <w:rPr>
          <w:b/>
        </w:rPr>
        <w:t xml:space="preserve">Slide 7 - Phase 1 interpretation</w:t>
      </w:r>
    </w:p>
    <w:p>
      <w:r>
        <w:rPr/>
        <w:t xml:space="preserve">My interpretation is that the new proxy target gives us a cleaner signal than before, but it does not prove that the target is free of shortcuts. The probe can clearly separate the two sides, and patching gives a focused layer range. But that separation might still be driven by taxonomy identity, k-mer patterns, GC content, or RefSeq-specific artifacts. So I see Phase 1 as useful evidence, but not final evidence.</w:t>
      </w:r>
    </w:p>
    <w:p>
      <w:pPr>
        <w:pStyle w:val="Heading1"/>
      </w:pPr>
      <w:r>
        <w:rPr>
          <w:b/>
        </w:rPr>
        <w:t xml:space="preserve">Slide 8 - Phase 2 setup</w:t>
      </w:r>
    </w:p>
    <w:p>
      <w:r>
        <w:rPr/>
        <w:t xml:space="preserve">For Phase 2, I used the same manifest to build forget and retain sets. The positive side became the forget set, and the negative side became the retain set. I tested two methods: gradient difference and RMU. I also compared three conditions: full model editing, localized editing on the Phase 1 layers, and random-layer controls. The goal was to see whether the localized layers are only good readout layers, or whether they are actually clean places to edit the target.</w:t>
      </w:r>
    </w:p>
    <w:p>
      <w:pPr>
        <w:pStyle w:val="Heading1"/>
      </w:pPr>
      <w:r>
        <w:rPr>
          <w:b/>
        </w:rPr>
        <w:t xml:space="preserve">Slide 9 - Phase 2 figure</w:t>
      </w:r>
    </w:p>
    <w:p>
      <w:r>
        <w:rPr/>
        <w:t xml:space="preserve">This figure is the main Phase 2 result. The full-model runs reduce the probe signal the most. The localized runs are much weaker under stable settings. If I train localized GD longer, the probe signal goes down more, but retain quality breaks badly. RMU is the opposite: it keeps retain quality stable, but it barely forgets. The random controls stay close to the original signal, which is a useful sanity check.</w:t>
      </w:r>
    </w:p>
    <w:p>
      <w:pPr>
        <w:pStyle w:val="Heading1"/>
      </w:pPr>
      <w:r>
        <w:rPr>
          <w:b/>
        </w:rPr>
        <w:t xml:space="preserve">Slide 10 - Phase 2 meaning</w:t>
      </w:r>
    </w:p>
    <w:p>
      <w:r>
        <w:rPr/>
        <w:t xml:space="preserve">The main message is that full-model editing works much better than localized editing. That does not mean the Phase 1 layers are useless. It means they may be better described as readout layers than clean causal edit points. Right now, I do not think the localized result is strong enough to claim selective unlearning of the target.</w:t>
      </w:r>
    </w:p>
    <w:p>
      <w:pPr>
        <w:pStyle w:val="Heading1"/>
      </w:pPr>
      <w:r>
        <w:rPr>
          <w:b/>
        </w:rPr>
        <w:t xml:space="preserve">Slide 11 - Main concern</w:t>
      </w:r>
    </w:p>
    <w:p>
      <w:r>
        <w:rPr/>
        <w:t xml:space="preserve">My biggest concern is still shortcut risk. Since the current target is Coronaviridae versus other viruses, the probe may be reading taxonomy identity or sequence composition. If that is true, then Phase 2 is not proving that we can forget a biological capability. It is mostly proving that full-model training can damage the representation used by the probe. That is useful, but it is a different claim.</w:t>
      </w:r>
    </w:p>
    <w:p>
      <w:pPr>
        <w:pStyle w:val="Heading1"/>
      </w:pPr>
      <w:r>
        <w:rPr>
          <w:b/>
        </w:rPr>
        <w:t xml:space="preserve">Slide 12 - Next steps</w:t>
      </w:r>
    </w:p>
    <w:p>
      <w:r>
        <w:rPr/>
        <w:t xml:space="preserve">This is the part I most want to discuss tonight. I think we may need to pause larger unlearning sweeps and first make target validity stronger. My question is: should we first find a target that is truly suitable for Evo and less shortcut-prone, and only then continue with unlearning? At minimum, we need to show that the probe is not just reading a split artifact. The current RefSeq dataset is label-balanced, and I did use species-level splitting and length matching, but family and genus composition could still explain the result. So I want to ask whether we should use a public dataset with a standard split, if one exists. If not, I think we should run stronger controlled checks, like family or genus held-out splits, homology held-out splits, GC and k-mer baselines, and negative-sampling ablations.</w:t>
      </w:r>
    </w:p>
    <w:p>
      <w:pPr>
        <w:pStyle w:val="Heading1"/>
      </w:pPr>
      <w:r>
        <w:rPr>
          <w:b/>
        </w:rPr>
        <w:t xml:space="preserve">Slide 13 - Take-home message</w:t>
      </w:r>
    </w:p>
    <w:p>
      <w:r>
        <w:rPr/>
        <w:t xml:space="preserve">The take-home message is this: Step one and Step two are not fully closed yet. Phase one gives a sharper candidate region, with layer six as the strongest point. Phase two shows that full-model unlearning can reduce the signal, but localized editing still does not have a strong causal interpretation. If the probe target is wrong, then the later unlearning conclusions are not trustworthy. So I would like to prioritize target and split validation first, and then return to localized unlearning and benchmark evaluation.</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4"/>
    </w:rPr>
  </w:style>
  <w:style w:type="paragraph" w:styleId="Title">
    <w:name w:val="Title"/>
    <w:rPr>
      <w:rFonts w:ascii="Aptos Display" w:hAnsi="Aptos Display"/>
      <w:b/>
      <w:sz w:val="36"/>
    </w:rPr>
  </w:style>
  <w:style w:type="paragraph" w:styleId="Heading1">
    <w:name w:val="heading 1"/>
    <w:basedOn w:val="Normal"/>
    <w:rPr>
      <w:b/>
      <w:sz w:val="28"/>
      <w:color w:val="1F29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RefSeq Target Unlearning Report</dc:title>
  <dc:creator>Codex</dc:creator>
</cp:coreProperties>
</file>