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Regulatory Briefing Note – Case Study 2</w:t>
      </w:r>
    </w:p>
    <w:p>
      <w:r>
        <w:t>Study Title: 90-Day Inhalation Toxicity of PG/VG with and without Nicotine in Sprague Dawley Rats</w:t>
      </w:r>
    </w:p>
    <w:p>
      <w:r>
        <w:t>Study Type: Non-clinical (OECD TG 413) with Systems Toxicology Integration</w:t>
      </w:r>
    </w:p>
    <w:p>
      <w:r>
        <w:t>Date: [Insert Date]</w:t>
      </w:r>
    </w:p>
    <w:p>
      <w:pPr>
        <w:pStyle w:val="Heading1"/>
      </w:pPr>
      <w:r>
        <w:t>1. Study Overview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Attribute</w:t>
            </w:r>
          </w:p>
        </w:tc>
        <w:tc>
          <w:tcPr>
            <w:tcW w:type="dxa" w:w="4320"/>
          </w:tcPr>
          <w:p>
            <w:r>
              <w:t>Details</w:t>
            </w:r>
          </w:p>
        </w:tc>
      </w:tr>
      <w:tr>
        <w:tc>
          <w:tcPr>
            <w:tcW w:type="dxa" w:w="4320"/>
          </w:tcPr>
          <w:p>
            <w:r>
              <w:t>Species</w:t>
            </w:r>
          </w:p>
        </w:tc>
        <w:tc>
          <w:tcPr>
            <w:tcW w:type="dxa" w:w="4320"/>
          </w:tcPr>
          <w:p>
            <w:r>
              <w:t>Sprague Dawley rats</w:t>
            </w:r>
          </w:p>
        </w:tc>
      </w:tr>
      <w:tr>
        <w:tc>
          <w:tcPr>
            <w:tcW w:type="dxa" w:w="4320"/>
          </w:tcPr>
          <w:p>
            <w:r>
              <w:t>Duration</w:t>
            </w:r>
          </w:p>
        </w:tc>
        <w:tc>
          <w:tcPr>
            <w:tcW w:type="dxa" w:w="4320"/>
          </w:tcPr>
          <w:p>
            <w:r>
              <w:t>90 days (OECD TG 413 compliant)</w:t>
            </w:r>
          </w:p>
        </w:tc>
      </w:tr>
      <w:tr>
        <w:tc>
          <w:tcPr>
            <w:tcW w:type="dxa" w:w="4320"/>
          </w:tcPr>
          <w:p>
            <w:r>
              <w:t>Arms</w:t>
            </w:r>
          </w:p>
        </w:tc>
        <w:tc>
          <w:tcPr>
            <w:tcW w:type="dxa" w:w="4320"/>
          </w:tcPr>
          <w:p>
            <w:r>
              <w:t>Standard Toxicology (10 rats/sex/group); Systems Toxicology (6 females/group)</w:t>
            </w:r>
          </w:p>
        </w:tc>
      </w:tr>
      <w:tr>
        <w:tc>
          <w:tcPr>
            <w:tcW w:type="dxa" w:w="4320"/>
          </w:tcPr>
          <w:p>
            <w:r>
              <w:t>Groups</w:t>
            </w:r>
          </w:p>
        </w:tc>
        <w:tc>
          <w:tcPr>
            <w:tcW w:type="dxa" w:w="4320"/>
          </w:tcPr>
          <w:p>
            <w:r>
              <w:t>8: Air, Saline, PG/VG (Low, Med, High), PG/VG + Nicotine (Low, Med, High)</w:t>
            </w:r>
          </w:p>
        </w:tc>
      </w:tr>
      <w:tr>
        <w:tc>
          <w:tcPr>
            <w:tcW w:type="dxa" w:w="4320"/>
          </w:tcPr>
          <w:p>
            <w:r>
              <w:t>Endpoints</w:t>
            </w:r>
          </w:p>
        </w:tc>
        <w:tc>
          <w:tcPr>
            <w:tcW w:type="dxa" w:w="4320"/>
          </w:tcPr>
          <w:p>
            <w:r>
              <w:t>Clinical observations, hematology, organ weights, histopathology, lung/nasal transcriptomics</w:t>
            </w:r>
          </w:p>
        </w:tc>
      </w:tr>
    </w:tbl>
    <w:p>
      <w:pPr>
        <w:pStyle w:val="Heading1"/>
      </w:pPr>
      <w:r>
        <w:t>2. Key Findings</w:t>
      </w:r>
    </w:p>
    <w:p>
      <w:r>
        <w:t>- Dose-dependent changes observed in respiratory tissues for PG/VG groups</w:t>
      </w:r>
    </w:p>
    <w:p>
      <w:r>
        <w:t>- Transcriptomic alterations involved oxidative stress and xenobiotic metabolism pathways</w:t>
      </w:r>
    </w:p>
    <w:p>
      <w:r>
        <w:t>- Nicotine (0.023 mg/L) modified gene expression but had minimal systemic toxicity impact</w:t>
      </w:r>
    </w:p>
    <w:p>
      <w:pPr>
        <w:pStyle w:val="Heading1"/>
      </w:pPr>
      <w:r>
        <w:t>3. Limitations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Area</w:t>
            </w:r>
          </w:p>
        </w:tc>
        <w:tc>
          <w:tcPr>
            <w:tcW w:type="dxa" w:w="4320"/>
          </w:tcPr>
          <w:p>
            <w:r>
              <w:t>Detail</w:t>
            </w:r>
          </w:p>
        </w:tc>
      </w:tr>
      <w:tr>
        <w:tc>
          <w:tcPr>
            <w:tcW w:type="dxa" w:w="4320"/>
          </w:tcPr>
          <w:p>
            <w:r>
              <w:t>Omics Design</w:t>
            </w:r>
          </w:p>
        </w:tc>
        <w:tc>
          <w:tcPr>
            <w:tcW w:type="dxa" w:w="4320"/>
          </w:tcPr>
          <w:p>
            <w:r>
              <w:t>Transcriptomics performed only in females – no male molecular data</w:t>
            </w:r>
          </w:p>
        </w:tc>
      </w:tr>
      <w:tr>
        <w:tc>
          <w:tcPr>
            <w:tcW w:type="dxa" w:w="4320"/>
          </w:tcPr>
          <w:p>
            <w:r>
              <w:t>Group Design</w:t>
            </w:r>
          </w:p>
        </w:tc>
        <w:tc>
          <w:tcPr>
            <w:tcW w:type="dxa" w:w="4320"/>
          </w:tcPr>
          <w:p>
            <w:r>
              <w:t>No nicotine-only group to isolate nicotine-specific effects</w:t>
            </w:r>
          </w:p>
        </w:tc>
      </w:tr>
      <w:tr>
        <w:tc>
          <w:tcPr>
            <w:tcW w:type="dxa" w:w="4320"/>
          </w:tcPr>
          <w:p>
            <w:r>
              <w:t>Controls</w:t>
            </w:r>
          </w:p>
        </w:tc>
        <w:tc>
          <w:tcPr>
            <w:tcW w:type="dxa" w:w="4320"/>
          </w:tcPr>
          <w:p>
            <w:r>
              <w:t>Saline vehicle may not fully isolate PG/VG vehicle effects</w:t>
            </w:r>
          </w:p>
        </w:tc>
      </w:tr>
    </w:tbl>
    <w:p>
      <w:pPr>
        <w:pStyle w:val="Heading1"/>
      </w:pPr>
      <w:r>
        <w:t>4. Statistical Enhancements (Low–Moderate Resource Impact)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Enhancement</w:t>
            </w:r>
          </w:p>
        </w:tc>
        <w:tc>
          <w:tcPr>
            <w:tcW w:type="dxa" w:w="2880"/>
          </w:tcPr>
          <w:p>
            <w:r>
              <w:t>Purpose</w:t>
            </w:r>
          </w:p>
        </w:tc>
        <w:tc>
          <w:tcPr>
            <w:tcW w:type="dxa" w:w="2880"/>
          </w:tcPr>
          <w:p>
            <w:r>
              <w:t>Regulatory Value</w:t>
            </w:r>
          </w:p>
        </w:tc>
      </w:tr>
      <w:tr>
        <w:tc>
          <w:tcPr>
            <w:tcW w:type="dxa" w:w="2880"/>
          </w:tcPr>
          <w:p>
            <w:r>
              <w:t>ANCOVA</w:t>
            </w:r>
          </w:p>
        </w:tc>
        <w:tc>
          <w:tcPr>
            <w:tcW w:type="dxa" w:w="2880"/>
          </w:tcPr>
          <w:p>
            <w:r>
              <w:t>Adjust for baseline weight/clinical values</w:t>
            </w:r>
          </w:p>
        </w:tc>
        <w:tc>
          <w:tcPr>
            <w:tcW w:type="dxa" w:w="2880"/>
          </w:tcPr>
          <w:p>
            <w:r>
              <w:t>Controls confounding; improves precision</w:t>
            </w:r>
          </w:p>
        </w:tc>
      </w:tr>
      <w:tr>
        <w:tc>
          <w:tcPr>
            <w:tcW w:type="dxa" w:w="2880"/>
          </w:tcPr>
          <w:p>
            <w:r>
              <w:t>Mixed Effects Models</w:t>
            </w:r>
          </w:p>
        </w:tc>
        <w:tc>
          <w:tcPr>
            <w:tcW w:type="dxa" w:w="2880"/>
          </w:tcPr>
          <w:p>
            <w:r>
              <w:t>Handle repeated measures (e.g., weight over time)</w:t>
            </w:r>
          </w:p>
        </w:tc>
        <w:tc>
          <w:tcPr>
            <w:tcW w:type="dxa" w:w="2880"/>
          </w:tcPr>
          <w:p>
            <w:r>
              <w:t>Accounts for within-animal variability</w:t>
            </w:r>
          </w:p>
        </w:tc>
      </w:tr>
      <w:tr>
        <w:tc>
          <w:tcPr>
            <w:tcW w:type="dxa" w:w="2880"/>
          </w:tcPr>
          <w:p>
            <w:r>
              <w:t>Effect Size Reporting</w:t>
            </w:r>
          </w:p>
        </w:tc>
        <w:tc>
          <w:tcPr>
            <w:tcW w:type="dxa" w:w="2880"/>
          </w:tcPr>
          <w:p>
            <w:r>
              <w:t>Emphasize biological relevance (e.g., Cohen’s d)</w:t>
            </w:r>
          </w:p>
        </w:tc>
        <w:tc>
          <w:tcPr>
            <w:tcW w:type="dxa" w:w="2880"/>
          </w:tcPr>
          <w:p>
            <w:r>
              <w:t>Improves interpretation beyond p-values</w:t>
            </w:r>
          </w:p>
        </w:tc>
      </w:tr>
      <w:tr>
        <w:tc>
          <w:tcPr>
            <w:tcW w:type="dxa" w:w="2880"/>
          </w:tcPr>
          <w:p>
            <w:r>
              <w:t>Principal Component Analysis (PCA)</w:t>
            </w:r>
          </w:p>
        </w:tc>
        <w:tc>
          <w:tcPr>
            <w:tcW w:type="dxa" w:w="2880"/>
          </w:tcPr>
          <w:p>
            <w:r>
              <w:t>Visualize group separation and detect outliers</w:t>
            </w:r>
          </w:p>
        </w:tc>
        <w:tc>
          <w:tcPr>
            <w:tcW w:type="dxa" w:w="2880"/>
          </w:tcPr>
          <w:p>
            <w:r>
              <w:t>Aids exploratory review and QC</w:t>
            </w:r>
          </w:p>
        </w:tc>
      </w:tr>
      <w:tr>
        <w:tc>
          <w:tcPr>
            <w:tcW w:type="dxa" w:w="2880"/>
          </w:tcPr>
          <w:p>
            <w:r>
              <w:t>Sensitivity Analysis</w:t>
            </w:r>
          </w:p>
        </w:tc>
        <w:tc>
          <w:tcPr>
            <w:tcW w:type="dxa" w:w="2880"/>
          </w:tcPr>
          <w:p>
            <w:r>
              <w:t>Assess model robustness</w:t>
            </w:r>
          </w:p>
        </w:tc>
        <w:tc>
          <w:tcPr>
            <w:tcW w:type="dxa" w:w="2880"/>
          </w:tcPr>
          <w:p>
            <w:r>
              <w:t>Supports reproducibility and transparency</w:t>
            </w:r>
          </w:p>
        </w:tc>
      </w:tr>
      <w:tr>
        <w:tc>
          <w:tcPr>
            <w:tcW w:type="dxa" w:w="2880"/>
          </w:tcPr>
          <w:p>
            <w:r>
              <w:t>Power Analysis</w:t>
            </w:r>
          </w:p>
        </w:tc>
        <w:tc>
          <w:tcPr>
            <w:tcW w:type="dxa" w:w="2880"/>
          </w:tcPr>
          <w:p>
            <w:r>
              <w:t>Estimate the ability to detect meaningful effects and justify sample size</w:t>
            </w:r>
          </w:p>
        </w:tc>
        <w:tc>
          <w:tcPr>
            <w:tcW w:type="dxa" w:w="2880"/>
          </w:tcPr>
          <w:p>
            <w:r>
              <w:t>Strengthens interpretation of null results; supports study design rationale</w:t>
            </w:r>
          </w:p>
        </w:tc>
      </w:tr>
    </w:tbl>
    <w:p>
      <w:pPr>
        <w:pStyle w:val="Heading1"/>
      </w:pPr>
      <w:r>
        <w:t>5. Regulatory Submission Readiness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Element</w:t>
            </w:r>
          </w:p>
        </w:tc>
        <w:tc>
          <w:tcPr>
            <w:tcW w:type="dxa" w:w="4320"/>
          </w:tcPr>
          <w:p>
            <w:r>
              <w:t>Status</w:t>
            </w:r>
          </w:p>
        </w:tc>
      </w:tr>
      <w:tr>
        <w:tc>
          <w:tcPr>
            <w:tcW w:type="dxa" w:w="4320"/>
          </w:tcPr>
          <w:p>
            <w:r>
              <w:t>OECD Compliance</w:t>
            </w:r>
          </w:p>
        </w:tc>
        <w:tc>
          <w:tcPr>
            <w:tcW w:type="dxa" w:w="4320"/>
          </w:tcPr>
          <w:p>
            <w:r>
              <w:t>✅ TG 413 format met</w:t>
            </w:r>
          </w:p>
        </w:tc>
      </w:tr>
      <w:tr>
        <w:tc>
          <w:tcPr>
            <w:tcW w:type="dxa" w:w="4320"/>
          </w:tcPr>
          <w:p>
            <w:r>
              <w:t>GLP Standards</w:t>
            </w:r>
          </w:p>
        </w:tc>
        <w:tc>
          <w:tcPr>
            <w:tcW w:type="dxa" w:w="4320"/>
          </w:tcPr>
          <w:p>
            <w:r>
              <w:t>✅ [Confirm if GLP-compliant]</w:t>
            </w:r>
          </w:p>
        </w:tc>
      </w:tr>
      <w:tr>
        <w:tc>
          <w:tcPr>
            <w:tcW w:type="dxa" w:w="4320"/>
          </w:tcPr>
          <w:p>
            <w:r>
              <w:t>SEND Formatting</w:t>
            </w:r>
          </w:p>
        </w:tc>
        <w:tc>
          <w:tcPr>
            <w:tcW w:type="dxa" w:w="4320"/>
          </w:tcPr>
          <w:p>
            <w:r>
              <w:t>⚠️ Required for toxicology data</w:t>
            </w:r>
          </w:p>
        </w:tc>
      </w:tr>
      <w:tr>
        <w:tc>
          <w:tcPr>
            <w:tcW w:type="dxa" w:w="4320"/>
          </w:tcPr>
          <w:p>
            <w:r>
              <w:t>Raw Omics Submission</w:t>
            </w:r>
          </w:p>
        </w:tc>
        <w:tc>
          <w:tcPr>
            <w:tcW w:type="dxa" w:w="4320"/>
          </w:tcPr>
          <w:p>
            <w:r>
              <w:t>⚠️ Required: .CEL/.FASTQ files + processing pipeline</w:t>
            </w:r>
          </w:p>
        </w:tc>
      </w:tr>
      <w:tr>
        <w:tc>
          <w:tcPr>
            <w:tcW w:type="dxa" w:w="4320"/>
          </w:tcPr>
          <w:p>
            <w:r>
              <w:t>Sex Representation</w:t>
            </w:r>
          </w:p>
        </w:tc>
        <w:tc>
          <w:tcPr>
            <w:tcW w:type="dxa" w:w="4320"/>
          </w:tcPr>
          <w:p>
            <w:r>
              <w:t>⚠️ Omics restricted to females; justification needed</w:t>
            </w:r>
          </w:p>
        </w:tc>
      </w:tr>
      <w:tr>
        <w:tc>
          <w:tcPr>
            <w:tcW w:type="dxa" w:w="4320"/>
          </w:tcPr>
          <w:p>
            <w:r>
              <w:t>Mode of Action Analysis</w:t>
            </w:r>
          </w:p>
        </w:tc>
        <w:tc>
          <w:tcPr>
            <w:tcW w:type="dxa" w:w="4320"/>
          </w:tcPr>
          <w:p>
            <w:r>
              <w:t>✅ Pathway enrichment provided; consider BMD modeling</w:t>
            </w:r>
          </w:p>
        </w:tc>
      </w:tr>
    </w:tbl>
    <w:p>
      <w:pPr>
        <w:pStyle w:val="Heading1"/>
      </w:pPr>
      <w:r>
        <w:t>6. Recommendations</w:t>
      </w:r>
    </w:p>
    <w:p>
      <w:r>
        <w:t>- Integrate mixed models and ANCOVA in final analysis to improve interpretability</w:t>
      </w:r>
    </w:p>
    <w:p>
      <w:r>
        <w:t>- Justify female-only systems toxicology or expand to include males in future studies</w:t>
      </w:r>
    </w:p>
    <w:p>
      <w:r>
        <w:t>- Include SEND datasets, effect sizes, and sensitivity analyses in formal regulatory dossier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