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28"/>
          <w:szCs w:val="28"/>
        </w:rPr>
        <w:t>课程编号：C0801003030</w:t>
      </w:r>
    </w:p>
    <w:p>
      <w:pPr>
        <w:rPr>
          <w:rFonts w:ascii="仿宋_GB2312" w:eastAsia="仿宋_GB2312"/>
          <w:b/>
          <w:bCs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bCs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hint="eastAsia" w:ascii="仿宋_GB2312" w:eastAsia="仿宋_GB2312" w:cs="仿宋_GB2312"/>
          <w:b/>
          <w:bCs/>
          <w:sz w:val="72"/>
          <w:szCs w:val="72"/>
        </w:rPr>
        <w:t>编译方法结课作业</w:t>
      </w:r>
    </w:p>
    <w:p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>
      <w:pPr>
        <w:jc w:val="center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drawing>
          <wp:inline distT="0" distB="0" distL="0" distR="0">
            <wp:extent cx="1534795" cy="1534795"/>
            <wp:effectExtent l="0" t="0" r="8255" b="8255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Style w:val="7"/>
        <w:tblW w:w="79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723"/>
                <w:kern w:val="0"/>
                <w:sz w:val="24"/>
                <w:szCs w:val="24"/>
                <w:fitText w:val="1928" w:id="0"/>
              </w:rPr>
              <w:t>学</w:t>
            </w:r>
            <w:r>
              <w:rPr>
                <w:rFonts w:eastAsia="仿宋"/>
                <w:b/>
                <w:bCs/>
                <w:kern w:val="0"/>
                <w:sz w:val="24"/>
                <w:szCs w:val="24"/>
                <w:fitText w:val="1928" w:id="0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wordWrap w:val="0"/>
              <w:jc w:val="distribute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任课教师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刘洪娟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201</w:t>
            </w:r>
            <w:r>
              <w:rPr>
                <w:rFonts w:hint="eastAsia"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  <w:lang w:val="en-US" w:eastAsia="zh-CN"/>
              </w:rPr>
              <w:t>9</w:t>
            </w:r>
            <w:r>
              <w:rPr>
                <w:rFonts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-20</w:t>
            </w:r>
            <w:r>
              <w:rPr>
                <w:rFonts w:hint="eastAsia"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  <w:lang w:val="en-US" w:eastAsia="zh-CN"/>
              </w:rPr>
              <w:t>20春</w:t>
            </w:r>
            <w:r>
              <w:rPr>
                <w:rFonts w:hint="eastAsia"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  <w:lang w:eastAsia="zh-CN"/>
              </w:rPr>
              <w:t>季</w:t>
            </w:r>
            <w:r>
              <w:rPr>
                <w:rFonts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学</w:t>
            </w:r>
            <w:r>
              <w:rPr>
                <w:rFonts w:eastAsia="仿宋"/>
                <w:b/>
                <w:bCs/>
                <w:spacing w:val="3"/>
                <w:kern w:val="0"/>
                <w:sz w:val="24"/>
                <w:szCs w:val="24"/>
                <w:fitText w:val="2892" w:id="1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restart"/>
            <w:vAlign w:val="center"/>
          </w:tcPr>
          <w:p>
            <w:pPr>
              <w:jc w:val="distribute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>
            <w:pPr>
              <w:jc w:val="center"/>
              <w:rPr>
                <w:rFonts w:eastAsia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right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301"/>
                <w:kern w:val="0"/>
                <w:sz w:val="24"/>
                <w:szCs w:val="24"/>
                <w:fitText w:val="1928" w:id="2"/>
              </w:rPr>
              <w:t>评定</w:t>
            </w:r>
            <w:r>
              <w:rPr>
                <w:rFonts w:eastAsia="仿宋"/>
                <w:b/>
                <w:bCs/>
                <w:spacing w:val="1"/>
                <w:kern w:val="0"/>
                <w:sz w:val="24"/>
                <w:szCs w:val="24"/>
                <w:fitText w:val="1928" w:id="2"/>
              </w:rPr>
              <w:t>人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刘洪娟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continue"/>
            <w:vAlign w:val="center"/>
          </w:tcPr>
          <w:p>
            <w:pPr>
              <w:jc w:val="right"/>
              <w:rPr>
                <w:rFonts w:eastAsia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160"/>
                <w:kern w:val="0"/>
                <w:sz w:val="24"/>
                <w:szCs w:val="24"/>
                <w:fitText w:val="1928" w:id="3"/>
              </w:rPr>
              <w:t>评定日</w:t>
            </w:r>
            <w:r>
              <w:rPr>
                <w:rFonts w:eastAsia="仿宋"/>
                <w:b/>
                <w:bCs/>
                <w:spacing w:val="2"/>
                <w:kern w:val="0"/>
                <w:sz w:val="24"/>
                <w:szCs w:val="24"/>
                <w:fitText w:val="1928" w:id="3"/>
              </w:rPr>
              <w:t>期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eastAsia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20</w:t>
            </w:r>
            <w:r>
              <w:rPr>
                <w:rFonts w:hint="eastAsia" w:eastAsia="仿宋"/>
                <w:b/>
                <w:bCs/>
                <w:color w:val="FF0000"/>
                <w:sz w:val="24"/>
                <w:szCs w:val="24"/>
                <w:lang w:val="en-US" w:eastAsia="zh-CN"/>
              </w:rPr>
              <w:t>20</w:t>
            </w: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年</w:t>
            </w:r>
            <w:r>
              <w:rPr>
                <w:rFonts w:hint="eastAsia" w:eastAsia="仿宋"/>
                <w:b/>
                <w:bCs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月</w:t>
            </w:r>
            <w:r>
              <w:rPr>
                <w:rFonts w:hint="eastAsia" w:eastAsia="仿宋"/>
                <w:b/>
                <w:bCs/>
                <w:color w:val="FF0000"/>
                <w:sz w:val="24"/>
                <w:szCs w:val="24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日</w:t>
            </w:r>
          </w:p>
        </w:tc>
      </w:tr>
    </w:tbl>
    <w:p>
      <w:pPr>
        <w:widowControl/>
        <w:jc w:val="center"/>
        <w:rPr>
          <w:rFonts w:ascii="仿宋_GB2312" w:hAnsi="宋体" w:eastAsia="仿宋_GB2312"/>
          <w:b/>
          <w:bCs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b/>
          <w:bCs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b/>
          <w:bCs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b/>
          <w:bCs/>
          <w:sz w:val="28"/>
          <w:szCs w:val="28"/>
        </w:rPr>
        <w:t>东北大学软件学院</w:t>
      </w:r>
    </w:p>
    <w:p>
      <w:pPr>
        <w:rPr>
          <w:sz w:val="24"/>
          <w:szCs w:val="24"/>
        </w:rPr>
      </w:pPr>
      <w:r>
        <w:rPr>
          <w:rFonts w:ascii="仿宋_GB2312" w:hAnsi="宋体" w:eastAsia="仿宋_GB2312"/>
          <w:sz w:val="32"/>
          <w:szCs w:val="32"/>
        </w:rPr>
        <w:br w:type="page"/>
      </w:r>
      <w:r>
        <w:rPr>
          <w:rFonts w:ascii="宋体" w:hAnsi="宋体"/>
          <w:color w:val="000000"/>
          <w:sz w:val="24"/>
        </w:rPr>
        <w:t>题目</w:t>
      </w:r>
      <w:r>
        <w:rPr>
          <w:rFonts w:hint="eastAsia"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：</w:t>
      </w:r>
      <w:r>
        <w:rPr>
          <w:rFonts w:hint="eastAsia" w:cs="宋体"/>
          <w:sz w:val="24"/>
          <w:szCs w:val="24"/>
        </w:rPr>
        <w:t>编译程序中使用的关键技术都有哪些应用方向，请详细说明。</w:t>
      </w:r>
    </w:p>
    <w:p>
      <w:pPr>
        <w:spacing w:line="288" w:lineRule="auto"/>
        <w:rPr>
          <w:rFonts w:ascii="宋体" w:hAnsi="宋体"/>
          <w:color w:val="000000"/>
          <w:sz w:val="24"/>
        </w:rPr>
      </w:pPr>
    </w:p>
    <w:p>
      <w:pPr>
        <w:spacing w:line="288" w:lineRule="auto"/>
        <w:rPr>
          <w:rFonts w:ascii="宋体" w:hAnsi="宋体"/>
          <w:color w:val="000000"/>
          <w:sz w:val="24"/>
        </w:rPr>
      </w:pPr>
    </w:p>
    <w:p>
      <w:pPr>
        <w:spacing w:line="288" w:lineRule="auto"/>
        <w:rPr>
          <w:rFonts w:ascii="宋体" w:hAnsi="宋体"/>
          <w:color w:val="000000"/>
          <w:sz w:val="24"/>
        </w:rPr>
      </w:pPr>
    </w:p>
    <w:p>
      <w:pPr>
        <w:spacing w:line="288" w:lineRule="auto"/>
        <w:rPr>
          <w:rFonts w:ascii="宋体" w:hAnsi="宋体"/>
          <w:color w:val="000000"/>
          <w:sz w:val="24"/>
        </w:rPr>
      </w:pPr>
    </w:p>
    <w:p>
      <w:pPr>
        <w:spacing w:line="288" w:lineRule="auto"/>
        <w:rPr>
          <w:rFonts w:ascii="宋体" w:hAnsi="宋体"/>
          <w:color w:val="000000"/>
          <w:sz w:val="24"/>
        </w:rPr>
      </w:pPr>
    </w:p>
    <w:p>
      <w:pPr>
        <w:spacing w:line="288" w:lineRule="auto"/>
        <w:rPr>
          <w:rFonts w:ascii="宋体" w:hAnsi="宋体"/>
          <w:color w:val="000000"/>
          <w:sz w:val="24"/>
        </w:rPr>
      </w:pPr>
    </w:p>
    <w:p>
      <w:pPr>
        <w:rPr>
          <w:sz w:val="24"/>
          <w:szCs w:val="24"/>
        </w:rPr>
      </w:pPr>
      <w:r>
        <w:rPr>
          <w:rFonts w:hint="eastAsia" w:ascii="宋体" w:hAnsi="宋体"/>
          <w:color w:val="000000"/>
          <w:sz w:val="24"/>
        </w:rPr>
        <w:t>题目2：</w:t>
      </w:r>
      <w:r>
        <w:rPr>
          <w:rFonts w:hint="eastAsia" w:cs="宋体"/>
          <w:sz w:val="24"/>
          <w:szCs w:val="24"/>
          <w:lang w:eastAsia="zh-CN"/>
        </w:rPr>
        <w:t>窥孔优化的概念？窥孔优化的常用技术有哪些？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color w:val="FF0000"/>
          <w:sz w:val="24"/>
          <w:szCs w:val="24"/>
        </w:rPr>
      </w:pPr>
      <w:r>
        <w:rPr>
          <w:rFonts w:hint="eastAsia" w:ascii="仿宋_GB2312" w:hAnsi="宋体" w:eastAsia="仿宋_GB2312" w:cs="仿宋_GB2312"/>
          <w:b/>
          <w:bCs/>
          <w:sz w:val="24"/>
          <w:szCs w:val="24"/>
        </w:rPr>
        <w:t>成绩评价表格</w:t>
      </w:r>
      <w:r>
        <w:rPr>
          <w:rFonts w:hint="eastAsia" w:ascii="仿宋_GB2312" w:hAnsi="宋体" w:eastAsia="仿宋_GB2312" w:cs="仿宋_GB2312"/>
          <w:sz w:val="24"/>
          <w:szCs w:val="24"/>
        </w:rPr>
        <w:t>：</w:t>
      </w:r>
    </w:p>
    <w:tbl>
      <w:tblPr>
        <w:tblStyle w:val="7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考核标准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1</w:t>
            </w:r>
            <w:r>
              <w:rPr>
                <w:rFonts w:hint="eastAsia" w:ascii="仿宋" w:hAnsi="仿宋" w:eastAsia="仿宋" w:cs="仿宋"/>
                <w:kern w:val="0"/>
              </w:rPr>
              <w:t>）正确理解和掌握编译程序的工作原理；（</w:t>
            </w:r>
            <w:r>
              <w:rPr>
                <w:rFonts w:ascii="仿宋" w:hAnsi="仿宋" w:eastAsia="仿宋" w:cs="仿宋"/>
                <w:kern w:val="0"/>
              </w:rPr>
              <w:t>30%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2</w:t>
            </w:r>
            <w:r>
              <w:rPr>
                <w:rFonts w:hint="eastAsia" w:ascii="仿宋" w:hAnsi="仿宋" w:eastAsia="仿宋" w:cs="仿宋"/>
                <w:kern w:val="0"/>
              </w:rPr>
              <w:t>）有自己独到的见解（</w:t>
            </w:r>
            <w:r>
              <w:rPr>
                <w:rFonts w:ascii="仿宋" w:hAnsi="仿宋" w:eastAsia="仿宋" w:cs="仿宋"/>
                <w:kern w:val="0"/>
              </w:rPr>
              <w:t>20%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3</w:t>
            </w:r>
            <w:r>
              <w:rPr>
                <w:rFonts w:hint="eastAsia" w:ascii="仿宋" w:hAnsi="仿宋" w:eastAsia="仿宋" w:cs="仿宋"/>
                <w:kern w:val="0"/>
              </w:rPr>
              <w:t>）文字描述能够使用专业术语完成（</w:t>
            </w:r>
            <w:r>
              <w:rPr>
                <w:rFonts w:ascii="仿宋" w:hAnsi="仿宋" w:eastAsia="仿宋" w:cs="仿宋"/>
                <w:kern w:val="0"/>
              </w:rPr>
              <w:t>30%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4</w:t>
            </w:r>
            <w:r>
              <w:rPr>
                <w:rFonts w:hint="eastAsia" w:ascii="仿宋" w:hAnsi="仿宋" w:eastAsia="仿宋" w:cs="仿宋"/>
                <w:kern w:val="0"/>
              </w:rPr>
              <w:t>）论述有理论依据（</w:t>
            </w:r>
            <w:r>
              <w:rPr>
                <w:rFonts w:ascii="仿宋" w:hAnsi="仿宋" w:eastAsia="仿宋" w:cs="仿宋"/>
                <w:kern w:val="0"/>
              </w:rPr>
              <w:t>20%</w:t>
            </w:r>
            <w:r>
              <w:rPr>
                <w:rFonts w:hint="eastAsia" w:ascii="仿宋" w:hAnsi="仿宋" w:eastAsia="仿宋" w:cs="仿宋"/>
                <w:kern w:val="0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50"/>
    <w:rsid w:val="002D227F"/>
    <w:rsid w:val="00515A50"/>
    <w:rsid w:val="00545E54"/>
    <w:rsid w:val="22742128"/>
    <w:rsid w:val="265E3CA1"/>
    <w:rsid w:val="3CBB67A5"/>
    <w:rsid w:val="53625124"/>
    <w:rsid w:val="70FC075E"/>
    <w:rsid w:val="73F022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character" w:customStyle="1" w:styleId="9">
    <w:name w:val="标题 3 Char"/>
    <w:basedOn w:val="6"/>
    <w:link w:val="2"/>
    <w:qFormat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页脚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47</Words>
  <Characters>272</Characters>
  <Lines>2</Lines>
  <Paragraphs>1</Paragraphs>
  <ScaleCrop>false</ScaleCrop>
  <LinksUpToDate>false</LinksUpToDate>
  <CharactersWithSpaces>318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2017-12-28T03:50:00Z</dcterms:created>
  <dc:creator>微软用户</dc:creator>
  <cp:lastModifiedBy>Administrator</cp:lastModifiedBy>
  <dcterms:modified xsi:type="dcterms:W3CDTF">2020-04-01T07:33:13Z</dcterms:modified>
  <dc:title>课程编号：B080103030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