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95" w:rsidRDefault="00753582">
      <w:pPr>
        <w:rPr>
          <w:b/>
          <w:bCs/>
        </w:rPr>
      </w:pPr>
      <w:r w:rsidRPr="00753582">
        <w:rPr>
          <w:rFonts w:hint="eastAsia"/>
          <w:b/>
          <w:bCs/>
        </w:rPr>
        <w:t>同步电机作业03</w:t>
      </w:r>
      <w:r>
        <w:rPr>
          <w:rFonts w:hint="eastAsia"/>
          <w:b/>
          <w:bCs/>
        </w:rPr>
        <w:t>（运行特性）</w:t>
      </w:r>
    </w:p>
    <w:p w:rsidR="00753582" w:rsidRDefault="00753582" w:rsidP="00753582">
      <w:pPr>
        <w:pStyle w:val="A61-"/>
        <w:numPr>
          <w:ilvl w:val="0"/>
          <w:numId w:val="0"/>
        </w:numPr>
        <w:ind w:left="426" w:hanging="426"/>
      </w:pPr>
      <w:r>
        <w:rPr>
          <w:rFonts w:hint="eastAsia"/>
        </w:rPr>
        <w:t>T06</w:t>
      </w:r>
      <w:r>
        <w:rPr>
          <w:rFonts w:hint="eastAsia"/>
        </w:rPr>
        <w:t>为什么同步发电机的短路特性是一条直线？测定同步发电机的短路特性时，如果转速降至</w:t>
      </w:r>
      <w:r>
        <w:rPr>
          <w:rFonts w:hint="eastAsia"/>
        </w:rPr>
        <w:t>0.95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，对试验结果有什么影响？</w:t>
      </w:r>
    </w:p>
    <w:p w:rsidR="00753582" w:rsidRDefault="00753582" w:rsidP="00753582">
      <w:pPr>
        <w:pStyle w:val="006"/>
        <w:ind w:left="480" w:hanging="480"/>
      </w:pPr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rPr>
          <w:rFonts w:hint="eastAsia"/>
        </w:rPr>
        <w:t>同步发电机稳态短路时，电枢磁动势基本上是一个纯去磁作用的直轴磁动势，气隙合成磁动势为</w:t>
      </w:r>
      <w:r>
        <w:rPr>
          <w:position w:val="-14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0.5pt;height:19.5pt" o:ole="">
            <v:imagedata r:id="rId5" o:title=""/>
          </v:shape>
          <o:OLEObject Type="Embed" ProgID="Equation.3" ShapeID="_x0000_i1032" DrawAspect="Content" ObjectID="_1592749031" r:id="rId6"/>
        </w:object>
      </w:r>
      <w:r>
        <w:rPr>
          <w:rFonts w:hint="eastAsia"/>
        </w:rPr>
        <w:t>，合成电动势为</w:t>
      </w:r>
      <w:r>
        <w:rPr>
          <w:position w:val="-12"/>
        </w:rPr>
        <w:object w:dxaOrig="1080" w:dyaOrig="380">
          <v:shape id="_x0000_i1033" type="#_x0000_t75" style="width:54.75pt;height:19.5pt" o:ole="">
            <v:imagedata r:id="rId7" o:title=""/>
          </v:shape>
          <o:OLEObject Type="Embed" ProgID="Equation.3" ShapeID="_x0000_i1033" DrawAspect="Content" ObjectID="_1592749032" r:id="rId8"/>
        </w:object>
      </w:r>
      <w:r>
        <w:rPr>
          <w:rFonts w:hint="eastAsia"/>
        </w:rPr>
        <w:t>，即合成电动势只等于漏抗压降。所以其对应的气隙合成磁通很小，电机的磁路处于不饱和状态，由于气隙合成磁动势</w:t>
      </w:r>
      <w:r>
        <w:rPr>
          <w:position w:val="-12"/>
        </w:rPr>
        <w:object w:dxaOrig="1300" w:dyaOrig="360">
          <v:shape id="_x0000_i1034" type="#_x0000_t75" style="width:65.25pt;height:18pt" o:ole="">
            <v:imagedata r:id="rId9" o:title=""/>
          </v:shape>
          <o:OLEObject Type="Embed" ProgID="Equation.3" ShapeID="_x0000_i1034" DrawAspect="Content" ObjectID="_1592749033" r:id="rId10"/>
        </w:object>
      </w:r>
      <w:r>
        <w:rPr>
          <w:rFonts w:hint="eastAsia"/>
        </w:rPr>
        <w:t>，而</w:t>
      </w:r>
      <w:r>
        <w:rPr>
          <w:position w:val="-12"/>
        </w:rPr>
        <w:object w:dxaOrig="1700" w:dyaOrig="360">
          <v:shape id="_x0000_i1035" type="#_x0000_t75" style="width:85.5pt;height:18pt" o:ole="">
            <v:imagedata r:id="rId11" o:title=""/>
          </v:shape>
          <o:OLEObject Type="Embed" ProgID="Equation.3" ShapeID="_x0000_i1035" DrawAspect="Content" ObjectID="_1592749034" r:id="rId12"/>
        </w:object>
      </w:r>
      <w:r>
        <w:rPr>
          <w:rFonts w:hint="eastAsia"/>
        </w:rPr>
        <w:t>，所以励磁磁动势</w:t>
      </w:r>
      <w:r>
        <w:rPr>
          <w:position w:val="-14"/>
        </w:rPr>
        <w:object w:dxaOrig="1400" w:dyaOrig="380">
          <v:shape id="_x0000_i1036" type="#_x0000_t75" style="width:70.5pt;height:19.5pt" o:ole="">
            <v:imagedata r:id="rId13" o:title=""/>
          </v:shape>
          <o:OLEObject Type="Embed" ProgID="Equation.3" ShapeID="_x0000_i1036" DrawAspect="Content" ObjectID="_1592749035" r:id="rId14"/>
        </w:object>
      </w:r>
      <w:r>
        <w:rPr>
          <w:rFonts w:hint="eastAsia"/>
        </w:rPr>
        <w:t>必然正比于</w:t>
      </w:r>
      <w:r>
        <w:rPr>
          <w:position w:val="-4"/>
        </w:rPr>
        <w:object w:dxaOrig="200" w:dyaOrig="260">
          <v:shape id="_x0000_i1037" type="#_x0000_t75" style="width:9.75pt;height:13.5pt" o:ole="">
            <v:imagedata r:id="rId15" o:title=""/>
          </v:shape>
          <o:OLEObject Type="Embed" ProgID="Equation.3" ShapeID="_x0000_i1037" DrawAspect="Content" ObjectID="_1592749036" r:id="rId16"/>
        </w:object>
      </w:r>
      <w:r>
        <w:rPr>
          <w:rFonts w:hint="eastAsia"/>
        </w:rPr>
        <w:t>，故短路特性</w:t>
      </w:r>
      <w:r>
        <w:rPr>
          <w:position w:val="-14"/>
        </w:rPr>
        <w:object w:dxaOrig="1140" w:dyaOrig="380">
          <v:shape id="_x0000_i1038" type="#_x0000_t75" style="width:57pt;height:19.5pt" o:ole="">
            <v:imagedata r:id="rId17" o:title=""/>
          </v:shape>
          <o:OLEObject Type="Embed" ProgID="Equation.3" ShapeID="_x0000_i1038" DrawAspect="Content" ObjectID="_1592749037" r:id="rId18"/>
        </w:object>
      </w:r>
      <w:r>
        <w:rPr>
          <w:rFonts w:hint="eastAsia"/>
        </w:rPr>
        <w:t>是一条直线。</w:t>
      </w:r>
      <w:r>
        <w:br/>
      </w:r>
      <w:r>
        <w:rPr>
          <w:rFonts w:hint="eastAsia"/>
        </w:rPr>
        <w:t>同步电抗与频率成正比，也降低到</w:t>
      </w:r>
      <w:r>
        <w:rPr>
          <w:position w:val="-6"/>
        </w:rPr>
        <w:object w:dxaOrig="480" w:dyaOrig="279">
          <v:shape id="_x0000_i1056" type="#_x0000_t75" style="width:24pt;height:14.25pt" o:ole="">
            <v:imagedata r:id="rId19" o:title=""/>
          </v:shape>
          <o:OLEObject Type="Embed" ProgID="Equation.3" ShapeID="_x0000_i1056" DrawAspect="Content" ObjectID="_1592749038" r:id="rId20"/>
        </w:object>
      </w:r>
      <w:r>
        <w:rPr>
          <w:rFonts w:hint="eastAsia"/>
        </w:rPr>
        <w:t>倍，所以短路电流</w:t>
      </w:r>
      <w:r>
        <w:rPr>
          <w:position w:val="-12"/>
        </w:rPr>
        <w:object w:dxaOrig="1240" w:dyaOrig="360">
          <v:shape id="_x0000_i1057" type="#_x0000_t75" style="width:62.25pt;height:18pt" o:ole="">
            <v:imagedata r:id="rId21" o:title=""/>
          </v:shape>
          <o:OLEObject Type="Embed" ProgID="Equation.3" ShapeID="_x0000_i1057" DrawAspect="Content" ObjectID="_1592749039" r:id="rId22"/>
        </w:object>
      </w:r>
      <w:r>
        <w:rPr>
          <w:rFonts w:hint="eastAsia"/>
        </w:rPr>
        <w:t>不变。</w:t>
      </w:r>
    </w:p>
    <w:p w:rsidR="00753582" w:rsidRPr="00C25754" w:rsidRDefault="00753582" w:rsidP="00753582">
      <w:pPr>
        <w:pStyle w:val="A61-"/>
        <w:numPr>
          <w:ilvl w:val="0"/>
          <w:numId w:val="0"/>
        </w:numPr>
        <w:ind w:left="425" w:hangingChars="177" w:hanging="425"/>
      </w:pPr>
      <w:r>
        <w:rPr>
          <w:rFonts w:hint="eastAsia"/>
        </w:rPr>
        <w:t>T</w:t>
      </w:r>
      <w:r>
        <w:t>07</w:t>
      </w:r>
      <w:r w:rsidRPr="00C25754">
        <w:rPr>
          <w:rFonts w:hint="eastAsia"/>
        </w:rPr>
        <w:t>什么叫短路比？它和同步电抗有何关系？它的大小对电机的运行性能和制造成本有何关系？</w:t>
      </w:r>
      <w:r w:rsidRPr="00C25754">
        <w:rPr>
          <w:rFonts w:hint="eastAsia"/>
        </w:rPr>
        <w:t xml:space="preserve"> </w:t>
      </w:r>
    </w:p>
    <w:p w:rsidR="00753582" w:rsidRDefault="00753582" w:rsidP="00753582">
      <w:pPr>
        <w:pStyle w:val="006"/>
        <w:ind w:left="480" w:hanging="480"/>
      </w:pPr>
      <w:r>
        <w:rPr>
          <w:rFonts w:hint="eastAsia"/>
        </w:rPr>
        <w:t>答：短路比</w:t>
      </w:r>
      <w:r>
        <w:t>K</w:t>
      </w:r>
      <w:r>
        <w:rPr>
          <w:vertAlign w:val="subscript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是指在空载特性曲线上对应额定电压时的励磁电流</w:t>
      </w:r>
      <w:r>
        <w:rPr>
          <w:rFonts w:hint="eastAsia"/>
        </w:rPr>
        <w:t>I</w:t>
      </w:r>
      <w:r>
        <w:rPr>
          <w:vertAlign w:val="subscript"/>
        </w:rPr>
        <w:t>f0</w:t>
      </w:r>
      <w:r>
        <w:rPr>
          <w:rFonts w:hint="eastAsia"/>
        </w:rPr>
        <w:t>下，三相稳态短路电流</w:t>
      </w:r>
      <w:r>
        <w:rPr>
          <w:rFonts w:hint="eastAsia"/>
        </w:rPr>
        <w:t>I</w:t>
      </w:r>
      <w:r>
        <w:rPr>
          <w:vertAlign w:val="subscript"/>
        </w:rPr>
        <w:t>k</w:t>
      </w:r>
      <w:r>
        <w:rPr>
          <w:rFonts w:hint="eastAsia"/>
        </w:rPr>
        <w:t>与额定电流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的比值；</w:t>
      </w:r>
    </w:p>
    <w:p w:rsidR="00753582" w:rsidRDefault="00753582" w:rsidP="00753582">
      <w:pPr>
        <w:pStyle w:val="006"/>
        <w:ind w:left="480" w:hanging="480"/>
      </w:pPr>
      <w:r>
        <w:rPr>
          <w:noProof/>
        </w:rPr>
        <w:object w:dxaOrig="1440" w:dyaOrig="1440">
          <v:shape id="_x0000_s1026" type="#_x0000_t75" style="position:absolute;left:0;text-align:left;margin-left:73pt;margin-top:21.85pt;width:194.1pt;height:42pt;z-index:251659264" o:allowincell="f">
            <v:imagedata r:id="rId23" o:title=""/>
            <w10:wrap type="topAndBottom"/>
          </v:shape>
          <o:OLEObject Type="Embed" ProgID="Equation.3" ShapeID="_x0000_s1026" DrawAspect="Content" ObjectID="_1592749041" r:id="rId24"/>
        </w:object>
      </w:r>
      <w:r>
        <w:t>K</w:t>
      </w:r>
      <w:r>
        <w:rPr>
          <w:vertAlign w:val="subscript"/>
        </w:rPr>
        <w:t>c</w:t>
      </w:r>
      <w:r>
        <w:rPr>
          <w:rFonts w:hint="eastAsia"/>
        </w:rPr>
        <w:t>与同步电抗的关系是：</w:t>
      </w:r>
    </w:p>
    <w:p w:rsidR="00753582" w:rsidRDefault="00753582" w:rsidP="00753582">
      <w:pPr>
        <w:pStyle w:val="006"/>
        <w:ind w:left="480" w:hanging="480"/>
      </w:pPr>
      <w:r>
        <w:rPr>
          <w:rFonts w:hint="eastAsia"/>
        </w:rPr>
        <w:t>其中，</w:t>
      </w:r>
      <w:r>
        <w:rPr>
          <w:rFonts w:hint="eastAsia"/>
        </w:rPr>
        <w:t>K</w:t>
      </w:r>
      <w:r>
        <w:t>s</w:t>
      </w:r>
      <w:r>
        <w:rPr>
          <w:rFonts w:hint="eastAsia"/>
        </w:rPr>
        <w:t>为电机的饱和系数。</w:t>
      </w:r>
      <w:bookmarkStart w:id="0" w:name="_GoBack"/>
      <w:bookmarkEnd w:id="0"/>
    </w:p>
    <w:p w:rsidR="00753582" w:rsidRDefault="00753582" w:rsidP="00753582">
      <w:pPr>
        <w:pStyle w:val="006"/>
        <w:ind w:left="480" w:hanging="480"/>
      </w:pPr>
      <w:r>
        <w:rPr>
          <w:rFonts w:hint="eastAsia"/>
        </w:rPr>
        <w:t>影响：如果短路比大，由短路比的表达式：</w:t>
      </w:r>
      <w:r>
        <w:rPr>
          <w:position w:val="-32"/>
        </w:rPr>
        <w:object w:dxaOrig="980" w:dyaOrig="740">
          <v:shape id="_x0000_i1064" type="#_x0000_t75" style="width:48.75pt;height:36.75pt" o:ole="">
            <v:imagedata r:id="rId25" o:title=""/>
          </v:shape>
          <o:OLEObject Type="Embed" ProgID="Equation.3" ShapeID="_x0000_i1064" DrawAspect="Content" ObjectID="_1592749040" r:id="rId26"/>
        </w:object>
      </w:r>
      <w:r>
        <w:rPr>
          <w:rFonts w:hint="eastAsia"/>
        </w:rPr>
        <w:t>知，空载时产生额定电压（或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）所需的励磁电流就大，或者说，运行时要产生所需的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就要有较大的励磁磁动势。这就表明发电机的气隙大，在保证气隙磁通密度一定的条件下需增大励磁磁动势，其一需增加励磁绕组匝数，其二需增加励磁电流（即需增加励磁电源容量及励磁绕组导线截面）。另外，气隙大，必导致定子几何尺寸增加，直接影响了电机的制造成本。另一方面，由于气隙大，同步电抗减小，使电机的三相稳态短路电流大，电压变化率小及并网运行时电机的稳定性提高。</w:t>
      </w:r>
    </w:p>
    <w:p w:rsidR="00753582" w:rsidRPr="00753582" w:rsidRDefault="00753582">
      <w:pPr>
        <w:rPr>
          <w:rFonts w:hint="eastAsia"/>
          <w:b/>
          <w:bCs/>
        </w:rPr>
      </w:pPr>
    </w:p>
    <w:p w:rsidR="00753582" w:rsidRDefault="00753582">
      <w:pPr>
        <w:rPr>
          <w:rFonts w:hint="eastAsia"/>
        </w:rPr>
      </w:pPr>
    </w:p>
    <w:sectPr w:rsidR="0075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82"/>
    <w:rsid w:val="00141EAC"/>
    <w:rsid w:val="0019002F"/>
    <w:rsid w:val="001F73E5"/>
    <w:rsid w:val="0041197F"/>
    <w:rsid w:val="00507795"/>
    <w:rsid w:val="00753582"/>
    <w:rsid w:val="007846D7"/>
    <w:rsid w:val="00A145F8"/>
    <w:rsid w:val="00A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A8474"/>
  <w15:chartTrackingRefBased/>
  <w15:docId w15:val="{692E5ABA-17E9-4A71-BD67-33875F3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753582"/>
    <w:pPr>
      <w:numPr>
        <w:numId w:val="4"/>
      </w:numPr>
      <w:spacing w:before="120" w:line="440" w:lineRule="atLeast"/>
      <w:ind w:hangingChars="200" w:hanging="20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753582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customStyle="1" w:styleId="006Char">
    <w:name w:val="006(文，解答) Char"/>
    <w:basedOn w:val="a0"/>
    <w:link w:val="006"/>
    <w:rsid w:val="00753582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75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2018-07-10T09:14:00Z</dcterms:created>
  <dcterms:modified xsi:type="dcterms:W3CDTF">2018-07-10T09:21:00Z</dcterms:modified>
</cp:coreProperties>
</file>