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36"/>
        </w:rPr>
        <w:t>混沌双摆数值模拟</w:t>
        <w:br/>
        <w:t>代码模块结构说明</w:t>
      </w:r>
    </w:p>
    <w:p/>
    <w:p>
      <w:pPr>
        <w:jc w:val="center"/>
      </w:pPr>
      <w:r>
        <w:rPr>
          <w:sz w:val="24"/>
        </w:rPr>
        <w:t>计算物理期末项目 — 王翔熙</w:t>
      </w:r>
    </w:p>
    <w:p/>
    <w:p>
      <w:pPr>
        <w:jc w:val="center"/>
      </w:pPr>
      <w:r>
        <w:rPr>
          <w:sz w:val="18"/>
        </w:rPr>
        <w:t>AI 使用声明: DeepSeek-V4-pro 辅助代码编写与文档生成</w:t>
      </w:r>
    </w:p>
    <w:p>
      <w:r>
        <w:br w:type="page"/>
      </w:r>
    </w:p>
    <w:p>
      <w:pPr>
        <w:pStyle w:val="Heading1"/>
      </w:pPr>
      <w:r>
        <w:t>1. 项目概览</w:t>
      </w:r>
    </w:p>
    <w:p>
      <w:r>
        <w:t>本项目以混沌双摆为物理模型，实现了一套完整的数值模拟与混沌诊断工具链。代码采用模块化设计，各模块职责清晰、低耦合，便于复现和扩展。全部使用 Python 3 编写，依赖 NumPy / SciPy / Matplotlib 科学计算栈。</w:t>
      </w:r>
    </w:p>
    <w:p>
      <w:r>
        <w:t>项目根目录下包含以下文件夹：</w:t>
        <w:br/>
        <w:t xml:space="preserve">  • 1_论文/ — LaTeX 论文正文与插图资源（assets/）</w:t>
        <w:br/>
        <w:t xml:space="preserve">  • 2_Code/ — 全部 Python 源代码</w:t>
        <w:br/>
        <w:t xml:space="preserve">  • 3_Data/ — 生成的图表与数据输出</w:t>
      </w:r>
    </w:p>
    <w:p>
      <w:pPr>
        <w:pStyle w:val="Heading1"/>
      </w:pPr>
      <w:r>
        <w:t>2. 模块列表</w:t>
      </w:r>
    </w:p>
    <w:p>
      <w:pPr>
        <w:pStyle w:val="Heading2"/>
      </w:pPr>
      <w:r>
        <w:t>2.1 double_pendulum.py — 物理模型</w:t>
      </w:r>
    </w:p>
    <w:p>
      <w:r>
        <w:t>定义双摆系统的物理模型，包括运动方程的导数计算（ODE 右端项）和能量计算。支持可选的线性阻尼项 −b·ω_i 和周期驱动力 A·sin(Ωt)，使模型可在无耗散 （理想 Hamiltonian）、有阻尼和受迫阻尼三种模式间切换。</w:t>
      </w:r>
    </w:p>
    <w:p>
      <w:pPr>
        <w:pStyle w:val="ListBullet"/>
      </w:pPr>
      <w:r>
        <w:t>关键类/函数：</w:t>
      </w:r>
    </w:p>
    <w:p>
      <w:pPr>
        <w:pStyle w:val="ListBullet2"/>
      </w:pPr>
      <w:r>
        <w:t>PendulumParams — 物理参数数据类 (m1, m2, l1, l2, g, b, A, Omega)</w:t>
      </w:r>
    </w:p>
    <w:p>
      <w:pPr>
        <w:pStyle w:val="ListBullet2"/>
      </w:pPr>
      <w:r>
        <w:t>DoublePendulum — 双摆系统类</w:t>
      </w:r>
    </w:p>
    <w:p>
      <w:pPr>
        <w:pStyle w:val="ListBullet2"/>
      </w:pPr>
      <w:r>
        <w:t xml:space="preserve">  • derivatives(t, y) — 计算 dy/dt = f(t, y)</w:t>
      </w:r>
    </w:p>
    <w:p>
      <w:pPr>
        <w:pStyle w:val="ListBullet2"/>
      </w:pPr>
      <w:r>
        <w:t xml:space="preserve">  • total_energy(y) — 计算总机械能 E = T + V</w:t>
      </w:r>
    </w:p>
    <w:p>
      <w:pPr>
        <w:pStyle w:val="ListBullet2"/>
      </w:pPr>
      <w:r>
        <w:t xml:space="preserve">  • kinetic_energy(y) / potential_energy(y) — 动能/势能</w:t>
      </w:r>
    </w:p>
    <w:p>
      <w:pPr>
        <w:pStyle w:val="Heading2"/>
      </w:pPr>
      <w:r>
        <w:t>2.2 solvers.py — 数值求解器</w:t>
      </w:r>
    </w:p>
    <w:p>
      <w:r>
        <w:t>实现四种数值积分方法，统一接口 (pendulum, t_span, y0, dt) → SolverResult。包含 RK45 自适应步长参考解求解器和批量求解函数。</w:t>
      </w:r>
    </w:p>
    <w:p>
      <w:pPr>
        <w:pStyle w:val="ListBullet"/>
      </w:pPr>
      <w:r>
        <w:t>关键函数：</w:t>
      </w:r>
    </w:p>
    <w:p>
      <w:pPr>
        <w:pStyle w:val="ListBullet2"/>
      </w:pPr>
      <w:r>
        <w:t>forward_euler() — Forward Euler 法 (O(h))</w:t>
      </w:r>
    </w:p>
    <w:p>
      <w:pPr>
        <w:pStyle w:val="ListBullet2"/>
      </w:pPr>
      <w:r>
        <w:t>rk4() — 四阶 Runge-Kutta 法 (O(h⁴))</w:t>
      </w:r>
    </w:p>
    <w:p>
      <w:pPr>
        <w:pStyle w:val="ListBullet2"/>
      </w:pPr>
      <w:r>
        <w:t>symplectic_euler() — Symplectic Euler / Euler-Cromer (O(h))</w:t>
      </w:r>
    </w:p>
    <w:p>
      <w:pPr>
        <w:pStyle w:val="ListBullet2"/>
      </w:pPr>
      <w:r>
        <w:t>velocity_verlet() — Velocity Verlet (O(h²))</w:t>
      </w:r>
    </w:p>
    <w:p>
      <w:pPr>
        <w:pStyle w:val="ListBullet2"/>
      </w:pPr>
      <w:r>
        <w:t>rk45_reference() — 自适应 RK45 参考解</w:t>
      </w:r>
    </w:p>
    <w:p>
      <w:pPr>
        <w:pStyle w:val="ListBullet2"/>
      </w:pPr>
      <w:r>
        <w:t>solve_all() — 批量调用多种方法</w:t>
      </w:r>
    </w:p>
    <w:p>
      <w:pPr>
        <w:pStyle w:val="ListBullet2"/>
      </w:pPr>
      <w:r>
        <w:t>SolverResult — 求解结果数据类 (t, y, n_steps, cpu_time)</w:t>
      </w:r>
    </w:p>
    <w:p>
      <w:pPr>
        <w:pStyle w:val="Heading2"/>
      </w:pPr>
      <w:r>
        <w:t>2.3 analysis.py — 分析模块</w:t>
      </w:r>
    </w:p>
    <w:p>
      <w:r>
        <w:t>负责处理原始模拟数据，计算混沌特征量。涵盖频域分析（FFT 功率谱）、非线性动力学诊断（Lyapunov 指数、Poincaré 截面）和参数空间扫描。</w:t>
      </w:r>
    </w:p>
    <w:p>
      <w:pPr>
        <w:pStyle w:val="ListBullet"/>
      </w:pPr>
      <w:r>
        <w:t>关键函数：</w:t>
      </w:r>
    </w:p>
    <w:p>
      <w:pPr>
        <w:pStyle w:val="ListBullet2"/>
      </w:pPr>
      <w:r>
        <w:t>compute_power_spectrum() — FFT 功率谱密度</w:t>
      </w:r>
    </w:p>
    <w:p>
      <w:pPr>
        <w:pStyle w:val="ListBullet2"/>
      </w:pPr>
      <w:r>
        <w:t>find_peak_frequencies() — 峰值频率提取</w:t>
      </w:r>
    </w:p>
    <w:p>
      <w:pPr>
        <w:pStyle w:val="ListBullet2"/>
      </w:pPr>
      <w:r>
        <w:t>compute_lyapunov_benettin() — Benettin 轨道分离法</w:t>
      </w:r>
    </w:p>
    <w:p>
      <w:pPr>
        <w:pStyle w:val="ListBullet2"/>
      </w:pPr>
      <w:r>
        <w:t>poincare_section() — Poincaré 截面提取</w:t>
      </w:r>
    </w:p>
    <w:p>
      <w:pPr>
        <w:pStyle w:val="ListBullet2"/>
      </w:pPr>
      <w:r>
        <w:t>scan_parameter_space() — (R, E₀) 参数空间 Lyapunov 扫描</w:t>
      </w:r>
    </w:p>
    <w:p>
      <w:pPr>
        <w:pStyle w:val="ListBullet2"/>
      </w:pPr>
      <w:r>
        <w:t>bifurcation_data() — Stroboscopic 分岔图数据采集</w:t>
      </w:r>
    </w:p>
    <w:p>
      <w:pPr>
        <w:pStyle w:val="Heading2"/>
      </w:pPr>
      <w:r>
        <w:t>2.4 analysis_corr_dim.py — 关联维数模块</w:t>
      </w:r>
    </w:p>
    <w:p>
      <w:r>
        <w:t>实现 Grassberger-Procaccia 算法计算混沌吸引子的关联维数 D₂。包含时延嵌入相空间重构和互信息法确定最佳时延。</w:t>
      </w:r>
    </w:p>
    <w:p>
      <w:pPr>
        <w:pStyle w:val="ListBullet"/>
      </w:pPr>
      <w:r>
        <w:t>关键函数：</w:t>
      </w:r>
    </w:p>
    <w:p>
      <w:pPr>
        <w:pStyle w:val="ListBullet2"/>
      </w:pPr>
      <w:r>
        <w:t>time_delay_embed() — Takens 时延嵌入重构</w:t>
      </w:r>
    </w:p>
    <w:p>
      <w:pPr>
        <w:pStyle w:val="ListBullet2"/>
      </w:pPr>
      <w:r>
        <w:t>correlation_sum() — 关联积分 C(ε)</w:t>
      </w:r>
    </w:p>
    <w:p>
      <w:pPr>
        <w:pStyle w:val="ListBullet2"/>
      </w:pPr>
      <w:r>
        <w:t>compute_correlation_dimension() — 主函数，计算 D₂(m) 收敛曲线</w:t>
      </w:r>
    </w:p>
    <w:p>
      <w:pPr>
        <w:pStyle w:val="Heading2"/>
      </w:pPr>
      <w:r>
        <w:t>2.5 visualization.py — 可视化模块</w:t>
      </w:r>
    </w:p>
    <w:p>
      <w:r>
        <w:t>基于 Matplotlib 的论文级图表生成。所有图表自动应用 figure_config 的样式配置，输出 600 DPI PNG 到 3_Data/ 和 1_论文/assets/ 两个目录。</w:t>
      </w:r>
    </w:p>
    <w:p>
      <w:pPr>
        <w:pStyle w:val="ListBullet"/>
      </w:pPr>
      <w:r>
        <w:t>关键函数（共 13 个绘图函数）：</w:t>
      </w:r>
    </w:p>
    <w:p>
      <w:pPr>
        <w:pStyle w:val="ListBullet2"/>
      </w:pPr>
      <w:r>
        <w:t>plot_phase_portrait_4panel() — 四方法相空间 2×2 面板</w:t>
      </w:r>
    </w:p>
    <w:p>
      <w:pPr>
        <w:pStyle w:val="ListBullet2"/>
      </w:pPr>
      <w:r>
        <w:t>plot_fft_periodic_vs_chaotic() / plot_fft_method_comparison() — FFT 功率谱</w:t>
      </w:r>
    </w:p>
    <w:p>
      <w:pPr>
        <w:pStyle w:val="ListBullet2"/>
      </w:pPr>
      <w:r>
        <w:t>plot_energy_stability_extended() — 长时间能量稳定性</w:t>
      </w:r>
    </w:p>
    <w:p>
      <w:pPr>
        <w:pStyle w:val="ListBullet2"/>
      </w:pPr>
      <w:r>
        <w:t>plot_precision_benchmark() — 精度-效率双面板图</w:t>
      </w:r>
    </w:p>
    <w:p>
      <w:pPr>
        <w:pStyle w:val="ListBullet2"/>
      </w:pPr>
      <w:r>
        <w:t>plot_convergence_enhanced() — 收敛性验证 (4 方法 × 2 场景)</w:t>
      </w:r>
    </w:p>
    <w:p>
      <w:pPr>
        <w:pStyle w:val="ListBullet2"/>
      </w:pPr>
      <w:r>
        <w:t>plot_poincare_sections() — Poincaré 截面 2×2</w:t>
      </w:r>
    </w:p>
    <w:p>
      <w:pPr>
        <w:pStyle w:val="ListBullet2"/>
      </w:pPr>
      <w:r>
        <w:t>plot_chaos_map() — (R, E₀) Lyapunov 热力图</w:t>
      </w:r>
    </w:p>
    <w:p>
      <w:pPr>
        <w:pStyle w:val="ListBullet2"/>
      </w:pPr>
      <w:r>
        <w:t>plot_bifurcation() — Stroboscopic 分岔图</w:t>
      </w:r>
    </w:p>
    <w:p>
      <w:pPr>
        <w:pStyle w:val="ListBullet2"/>
      </w:pPr>
      <w:r>
        <w:t>plot_correlation_dimension() — 关联维数双面板图</w:t>
      </w:r>
    </w:p>
    <w:p>
      <w:pPr>
        <w:pStyle w:val="ListBullet2"/>
      </w:pPr>
      <w:r>
        <w:t>plot_runtime_benchmark() — 计算效率柱状图</w:t>
      </w:r>
    </w:p>
    <w:p>
      <w:pPr>
        <w:pStyle w:val="ListBullet2"/>
      </w:pPr>
      <w:r>
        <w:t>animate_double_pendulum() — 双摆运动动画 (GIF)</w:t>
      </w:r>
    </w:p>
    <w:p>
      <w:pPr>
        <w:pStyle w:val="Heading2"/>
      </w:pPr>
      <w:r>
        <w:t>2.6 figure_config.py — 图表配置</w:t>
      </w:r>
    </w:p>
    <w:p>
      <w:r>
        <w:t>为《大学物理》期刊定制的 Matplotlib 全局样式配置。文本字体 Times New Roman，数学字体 Computer Modern (cm)，图表分辨率 600 DPI。提供单栏 (8cm) 和双栏 (16cm) 标准尺寸，save_figure / save_figure_both 输出函数。</w:t>
      </w:r>
    </w:p>
    <w:p>
      <w:pPr>
        <w:pStyle w:val="Heading2"/>
      </w:pPr>
      <w:r>
        <w:t>2.7 main.py — 主入口</w:t>
      </w:r>
    </w:p>
    <w:p>
      <w:r>
        <w:t>命令行驱动的主程序，集中定义所有物理参数和初始条件。支持 --quick / --full / --phase2 / --phase3 / --phase4 / --all 等运行模式，每个模式对应一组验证、模拟和分析任务。</w:t>
      </w:r>
    </w:p>
    <w:p>
      <w:pPr>
        <w:pStyle w:val="Heading2"/>
      </w:pPr>
      <w:r>
        <w:t>2.8 draw_schematic.py — 示意图绘制</w:t>
      </w:r>
    </w:p>
    <w:p>
      <w:r>
        <w:t>独立脚本，绘制带角度标注和几何参数的双摆系统示意图，用于论文第 2 节。</w:t>
      </w:r>
    </w:p>
    <w:p>
      <w:pPr>
        <w:pStyle w:val="Heading1"/>
      </w:pPr>
      <w:r>
        <w:t>3. 数据流</w:t>
      </w:r>
    </w:p>
    <w:p>
      <w:r>
        <w:t>典型的分析流程如下：</w:t>
        <w:br/>
        <w:br/>
        <w:t xml:space="preserve">  1. main.py 定义物理参数 (PendulumParams) 和初始状态 (y₀)</w:t>
        <w:br/>
        <w:t xml:space="preserve">  2. 创建 DoublePendulum 实例</w:t>
        <w:br/>
        <w:t xml:space="preserve">  3. 调用 solvers.py 中的求解器进行数值积分 → SolverResult (t, y, 统计信息)</w:t>
        <w:br/>
        <w:t xml:space="preserve">  4. 将 SolverResult 传递给 analysis.py 进行混沌诊断 → 特征量数组</w:t>
        <w:br/>
        <w:t xml:space="preserve">  5. 将结果传递给 visualization.py 生成论文图表 → PNG (600 DPI)</w:t>
        <w:br/>
        <w:t xml:space="preserve">  6. 图表输出到 3_Data/ (数据目录) 和 1_论文/assets/ (论文插图目录)</w:t>
        <w:br/>
        <w:t xml:space="preserve">  7. LaTeX 论文 (1_论文/论文正文.tex) 引用 assets/ 中的图表进行排版</w:t>
      </w:r>
    </w:p>
    <w:p>
      <w:pPr>
        <w:pStyle w:val="Heading1"/>
      </w:pPr>
      <w:r>
        <w:t>4. 依赖环境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NumPy ≥ 1.24</w:t>
      </w:r>
    </w:p>
    <w:p>
      <w:pPr>
        <w:pStyle w:val="ListBullet"/>
      </w:pPr>
      <w:r>
        <w:t>SciPy ≥ 1.10 (find_peaks, 信号处理)</w:t>
      </w:r>
    </w:p>
    <w:p>
      <w:pPr>
        <w:pStyle w:val="ListBullet"/>
      </w:pPr>
      <w:r>
        <w:t>Matplotlib ≥ 3.7</w:t>
      </w:r>
    </w:p>
    <w:p>
      <w:pPr>
        <w:pStyle w:val="ListBullet"/>
      </w:pPr>
      <w:r>
        <w:t>python-docx (本文档生成)</w:t>
      </w:r>
    </w:p>
    <w:p>
      <w:pPr>
        <w:pStyle w:val="ListBullet"/>
      </w:pPr>
      <w:r>
        <w:br/>
        <w:t>LaTeX 编译环境: MiKTeX + xelatex + ctexart 文档类</w:t>
      </w:r>
    </w:p>
    <w:p>
      <w:pPr>
        <w:pStyle w:val="ListBullet"/>
      </w:pPr>
      <w:r>
        <w:t>字体: SimSun (宋体) / SimHei (黑体) / KaiTi (楷体) / Times New Roman</w:t>
      </w:r>
    </w:p>
    <w:p>
      <w:pPr>
        <w:pStyle w:val="Heading1"/>
      </w:pPr>
      <w:r>
        <w:t>5. 扩展建议</w:t>
      </w:r>
    </w:p>
    <w:p>
      <w:r>
        <w:t>• Numba 加速: 将 DoublePendulum.derivatives() 用 numba.jit 装饰，Lyapunov 指数批处理可提速 ~50x</w:t>
      </w:r>
    </w:p>
    <w:p>
      <w:r>
        <w:t>• GPU 加速: 参数空间扫描是 embarrassingly parallel 的，可用 CuPy 或 JAX 实现 GPU 并行</w:t>
      </w:r>
    </w:p>
    <w:p>
      <w:r>
        <w:t>• 更多混沌诊断: 可添加 Kolmogorov-Sinai 熵、0-1 混沌测试、替代数据 (surrogate data) 分析等</w:t>
      </w:r>
    </w:p>
    <w:p>
      <w:r>
        <w:t>• 单元测试: 可对 solvers.py 和 analysis.py 添加 pytest 测试，覆盖退化单摆和能量守恒等基本检验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