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2"/>
        </w:rPr>
        <w:t>与已公开对比文件的区别点及创造性初步分析</w:t>
      </w:r>
    </w:p>
    <w:p/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文档用途：供专利代理机构撰写意见陈述书、新颖性/创造性答复或申请策略参考。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对比文件：CN119624716A《基于大语言模型的虚拟教学训练方法、系统及介质》（以国家知识产权局公开文本为准）。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我方方案：编程教育场景下可教智能体系统——学习者向大模型扮演的虚拟学习者施教，以动态知识状态驱动行为，并与代码结构校验、沙箱执行、任务调度、过程追溯等形成闭环。</w:t>
      </w:r>
    </w:p>
    <w:p>
      <w:r>
        <w:rPr>
          <w:rFonts w:ascii="SimHei" w:hAnsi="SimHei" w:eastAsia="SimHei"/>
          <w:b/>
          <w:sz w:val="28"/>
        </w:rPr>
        <w:t>一、对比文件（CN119624716A）技术要点摘要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0"/>
              </w:rPr>
              <w:t>对比文件公开内容（概括）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应用场景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面向教师/培训师的虚拟教学训练；提升教学质量与策略。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虚拟学生构建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按教学层次与学科，预设先验知识水平、认知水平、学习风格等特征参数，由大模型生成虚拟学生。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交互形态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多模态教学信息输入；虚拟学生学习并产生学习状态与反馈。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评估与建议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虚拟教学专家系统评估教学过程，输出策略优化建议并下发终端。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硬件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计算机、麦克风、摄像头等采集多模态信息。</w:t>
            </w:r>
          </w:p>
        </w:tc>
      </w:tr>
    </w:tbl>
    <w:p/>
    <w:p>
      <w:r>
        <w:rPr>
          <w:rFonts w:ascii="SimHei" w:hAnsi="SimHei" w:eastAsia="SimHei"/>
          <w:b/>
          <w:sz w:val="28"/>
        </w:rPr>
        <w:t>二、我方方案技术要点摘要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0"/>
              </w:rPr>
              <w:t>我方要点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应用场景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面向学生编程学习；以教促学；可含教师分析端，核心闭环在学-教-测-状态。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虚拟学习者起点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非预设能力档位；以知识单元为粒度从零或极低先验开始动态演化。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知识建模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扩展状态（含错误概念、证据等）；BKT思路+依赖门控+教学质量等因素。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行为约束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知识状态约束的大模型输出（如Reflect-Respond管道）。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编程特有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AST节点类型映射知识单元；约束可生成/可执行代码与知识边界一致。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执行闭环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沙箱执行+错误归因；结果回写知识状态与错误概念。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调度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多策略任务选择；SM-2类间隔与掌握度联动（若实现）。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可追溯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18"/>
              </w:rPr>
              <w:t>多类型事件记录教学-状态-对话-选题-尝试-评估的因果关联。</w:t>
            </w:r>
          </w:p>
        </w:tc>
      </w:tr>
    </w:tbl>
    <w:p/>
    <w:p>
      <w:r>
        <w:rPr>
          <w:rFonts w:ascii="SimHei" w:hAnsi="SimHei" w:eastAsia="SimHei"/>
          <w:b/>
          <w:sz w:val="28"/>
        </w:rPr>
        <w:t>三、区别点对照表（代理可直接引用）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区别主题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对比文件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我方</w:t>
            </w:r>
          </w:p>
        </w:tc>
        <w:tc>
          <w:tcPr>
            <w:tcW w:type="dxa" w:w="1728"/>
          </w:tcPr>
          <w:p>
            <w:r>
              <w:rPr>
                <w:rFonts w:ascii="SimHei" w:hAnsi="SimHei" w:eastAsia="SimHei"/>
                <w:b/>
                <w:sz w:val="20"/>
              </w:rPr>
              <w:t>是否易区分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应用目的与用户角色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培训教师；专家给教学策略建议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学生教虚拟学习者；核心闭环在自身学习效果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较易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虚拟学习者能力来源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预设先验/认知/学习风格等参数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知识单元+动态掌握概率/状态演化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较易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多模态vs编程闭环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文本/图/视频等通用材料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源码+沙箱+测评与知识状态联动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较易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专家评估模块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独立虚拟专家评估并建议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主路径为状态机+约束生成+执行反馈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较易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D5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知识粒度与状态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学习状态较宏观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细粒度单元、前置依赖、多类证据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中等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D6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错误概念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未公开同构方案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目录+触发+严重度/衰减+与测评联动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中等偏强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遗忘与复习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未公开同构融合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个性化衰减+与掌握度联动调间隔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中等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D8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AST语法守卫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未涉及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语法节点→知识单元映射与子集校验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较强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多策略选题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未公开同构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按错误概念/不确定性/间隔等切换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中等偏强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D10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Reflect-Respond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未公开同构管道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分阶段+严格仅用已检索知识的提示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中等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D11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证据链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未公开同构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多事件类型+快照+关联ID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中等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D12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模式切换提问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未公开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周期性苏格拉底式追问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18"/>
              </w:rPr>
              <w:t>偏弱至中等</w:t>
            </w:r>
          </w:p>
        </w:tc>
      </w:tr>
    </w:tbl>
    <w:p/>
    <w:p>
      <w:r>
        <w:rPr>
          <w:rFonts w:ascii="SimHei" w:hAnsi="SimHei" w:eastAsia="SimHei"/>
          <w:b/>
          <w:sz w:val="28"/>
        </w:rPr>
        <w:t>四、各区别点创造性初步判断（非法律结论）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说明：下列为技术交底层面粗判，最终以审查员检索及代理法律分析为准。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区别点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新颖性(相对716A)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创造性粗判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撰写/举证侧重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通常有区别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中等；需绑定D5-D11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作场景限定，不单作主创新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中等偏强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状态来源：教学/测评/执行结果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较强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执行结果→知识单元/错误概念的映射规则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D4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弱至中等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区别说明即可，不单列核心权要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D5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部分有区别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偏弱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与D8/D3/D7协同或非显而易见参数化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D6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中等偏强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触发源、阈值、与掌握度联动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D7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融合规则/公式，非仅陈述遗忘曲线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较强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保留在重要权利要求；可附映射表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D9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输入变量与优先级/切换条件具体化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D10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表述有区别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偏弱至中等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绑定状态库+AST+执行反馈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D11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偏弱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与每次状态转移因果绑定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D12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有区别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偏弱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8"/>
              </w:rPr>
              <w:t>从属或说明书效果</w:t>
            </w:r>
          </w:p>
        </w:tc>
      </w:tr>
    </w:tbl>
    <w:p/>
    <w:p>
      <w:r>
        <w:rPr>
          <w:rFonts w:ascii="SimHei" w:hAnsi="SimHei" w:eastAsia="SimHei"/>
          <w:b/>
          <w:sz w:val="28"/>
        </w:rPr>
        <w:t>五、审查风险与应对要点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1）以教促学+LLM虚拟学生：可能被其他文献覆盖——应对：锚定D3、D8、D6、D7联动与可验证实现。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2）BKT、遗忘曲线、沙箱各自公知：易被指常规组合——应对：写清组合解决的技术问题（防全知、代码与状态一致、复习间隔随掌握度）。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3）提示词/管道创造性不足——应对：与状态矩阵、AST允许集合、沙箱反馈写入同一权利要求链或方法步骤。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4）对比文件「学习状态信息」——应对：用D5/D6/D8的数据结构、状态种类、更新触发源细化差异。</w:t>
      </w:r>
    </w:p>
    <w:p>
      <w:r>
        <w:rPr>
          <w:rFonts w:ascii="SimHei" w:hAnsi="SimHei" w:eastAsia="SimHei"/>
          <w:b/>
          <w:sz w:val="28"/>
        </w:rPr>
        <w:t>六、一句话结论（非法律结论）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与716A最易拉开距离：编程场景下AST-知识单元绑定+沙箱执行驱动知识状态/错误概念（D3、D8），以及动态知识边界约束与测评/选题闭环（D2、D5、D9组合）；单独「逆向教学」叙事支撑弱。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单独支撑创造性偏弱：泛泛BKT、沙箱、遗忘曲线、日志、纯提示工程——需用联动与具体规则补强。</w:t>
      </w:r>
    </w:p>
    <w:p>
      <w:pPr>
        <w:spacing w:line="360" w:lineRule="auto"/>
      </w:pPr>
      <w:r>
        <w:rPr>
          <w:rFonts w:ascii="SimSun" w:hAnsi="SimSun" w:eastAsia="SimSun"/>
          <w:b w:val="0"/>
          <w:sz w:val="22"/>
        </w:rPr>
        <w:t>是否具备创造性须充分检索后定论；从交底角度，D3+D8+D6+D7协同较适合作为答复重点。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