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4C87" w14:textId="77777777" w:rsidR="00086F9C" w:rsidRPr="00E207A4" w:rsidRDefault="00000000">
      <w:pPr>
        <w:jc w:val="center"/>
        <w:rPr>
          <w:color w:val="000000" w:themeColor="text1"/>
        </w:rPr>
      </w:pPr>
      <w:r w:rsidRPr="00E207A4">
        <w:rPr>
          <w:b/>
          <w:color w:val="000000" w:themeColor="text1"/>
          <w:sz w:val="28"/>
        </w:rPr>
        <w:t>Choosing the Right Simulated Learner: A Framework-Aligned Comparison of Teachable Agent and Student Simulation Protocols</w:t>
      </w:r>
    </w:p>
    <w:p w14:paraId="6FF4C2E5" w14:textId="77777777" w:rsidR="00086F9C" w:rsidRPr="00E207A4" w:rsidRDefault="00000000">
      <w:pPr>
        <w:keepNext/>
        <w:spacing w:before="80"/>
        <w:rPr>
          <w:color w:val="000000" w:themeColor="text1"/>
        </w:rPr>
      </w:pPr>
      <w:r w:rsidRPr="00E207A4">
        <w:rPr>
          <w:b/>
          <w:color w:val="000000" w:themeColor="text1"/>
          <w:sz w:val="22"/>
        </w:rPr>
        <w:t>1. Problem and Significance</w:t>
      </w:r>
    </w:p>
    <w:p w14:paraId="1BE5B210" w14:textId="77777777" w:rsidR="00086F9C" w:rsidRPr="00E207A4" w:rsidRDefault="00000000">
      <w:pPr>
        <w:jc w:val="both"/>
        <w:rPr>
          <w:color w:val="000000" w:themeColor="text1"/>
        </w:rPr>
      </w:pPr>
      <w:r w:rsidRPr="00E207A4">
        <w:rPr>
          <w:color w:val="000000" w:themeColor="text1"/>
        </w:rPr>
        <w:t xml:space="preserve">LLM-based simulated learners are increasingly used in educational technology research and design, yet two structurally distinct prompting paradigms — </w:t>
      </w:r>
      <w:r w:rsidRPr="00E207A4">
        <w:rPr>
          <w:b/>
          <w:color w:val="000000" w:themeColor="text1"/>
        </w:rPr>
        <w:t>Teachable Agent (TA)</w:t>
      </w:r>
      <w:r w:rsidRPr="00E207A4">
        <w:rPr>
          <w:color w:val="000000" w:themeColor="text1"/>
        </w:rPr>
        <w:t xml:space="preserve"> (Blair et al., 2007) and </w:t>
      </w:r>
      <w:r w:rsidRPr="00E207A4">
        <w:rPr>
          <w:b/>
          <w:color w:val="000000" w:themeColor="text1"/>
        </w:rPr>
        <w:t>Student Simulation (SS)</w:t>
      </w:r>
      <w:r w:rsidRPr="00E207A4">
        <w:rPr>
          <w:color w:val="000000" w:themeColor="text1"/>
        </w:rPr>
        <w:t xml:space="preserve"> (Koedinger et al., 2015) — are routinely conflated under generic "act-as-a-student" prompts. We argue these protocols are </w:t>
      </w:r>
      <w:r w:rsidRPr="00E207A4">
        <w:rPr>
          <w:b/>
          <w:color w:val="000000" w:themeColor="text1"/>
        </w:rPr>
        <w:t>not interchangeable</w:t>
      </w:r>
      <w:r w:rsidRPr="00E207A4">
        <w:rPr>
          <w:color w:val="000000" w:themeColor="text1"/>
        </w:rPr>
        <w:t xml:space="preserve">: they target different educational purposes (learning-by-teaching vs. diagnostic/instructional testing) and therefore should be evaluated against different criteria. The proposed study provides the first </w:t>
      </w:r>
      <w:r w:rsidRPr="00E207A4">
        <w:rPr>
          <w:b/>
          <w:color w:val="000000" w:themeColor="text1"/>
        </w:rPr>
        <w:t>pre-registered, framework-aligned, multi-model comparative evaluation</w:t>
      </w:r>
      <w:r w:rsidRPr="00E207A4">
        <w:rPr>
          <w:color w:val="000000" w:themeColor="text1"/>
        </w:rPr>
        <w:t xml:space="preserve"> of these protocols on matched public tutoring scenarios, yielding concrete design guidance for practitioners and a reusable benchmark for the GenAI-in-education community.</w:t>
      </w:r>
    </w:p>
    <w:p w14:paraId="55ECC323" w14:textId="77777777" w:rsidR="00086F9C" w:rsidRPr="00E207A4" w:rsidRDefault="00000000">
      <w:pPr>
        <w:keepNext/>
        <w:spacing w:before="80"/>
        <w:rPr>
          <w:color w:val="000000" w:themeColor="text1"/>
        </w:rPr>
      </w:pPr>
      <w:r w:rsidRPr="00E207A4">
        <w:rPr>
          <w:b/>
          <w:color w:val="000000" w:themeColor="text1"/>
          <w:sz w:val="22"/>
        </w:rPr>
        <w:t>2. Research Questions and Pre-registered Hypotheses</w:t>
      </w:r>
    </w:p>
    <w:p w14:paraId="7706FFCF" w14:textId="77777777" w:rsidR="00086F9C" w:rsidRPr="00E207A4" w:rsidRDefault="00000000">
      <w:pPr>
        <w:jc w:val="both"/>
        <w:rPr>
          <w:color w:val="000000" w:themeColor="text1"/>
        </w:rPr>
      </w:pPr>
      <w:r w:rsidRPr="00E207A4">
        <w:rPr>
          <w:b/>
          <w:color w:val="000000" w:themeColor="text1"/>
        </w:rPr>
        <w:t>RQ.</w:t>
      </w:r>
      <w:r w:rsidRPr="00E207A4">
        <w:rPr>
          <w:color w:val="000000" w:themeColor="text1"/>
        </w:rPr>
        <w:t xml:space="preserve"> Do TA and SS protocols, implemented as LLM system prompts, produce structurally different simulated-learner evidence under matched tutoring scenarios, and is the difference stable across LLM families and datasets?</w:t>
      </w:r>
    </w:p>
    <w:p w14:paraId="6290B031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H1 (TA superiority):</w:t>
      </w:r>
      <w:r w:rsidRPr="00E207A4">
        <w:rPr>
          <w:color w:val="000000" w:themeColor="text1"/>
        </w:rPr>
        <w:t xml:space="preserve"> C1 &gt; {C2, C3, C4} on TA1–TA4 (Blair); Holm-corrected p &lt; .0125, d &gt; 0.5.</w:t>
      </w:r>
    </w:p>
    <w:p w14:paraId="63C43BB7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H2 (SS superiority):</w:t>
      </w:r>
      <w:r w:rsidRPr="00E207A4">
        <w:rPr>
          <w:color w:val="000000" w:themeColor="text1"/>
        </w:rPr>
        <w:t xml:space="preserve"> C2 &gt; {C3, C4} on SS1–SS5 (Koedinger); same thresholds.</w:t>
      </w:r>
    </w:p>
    <w:p w14:paraId="7A33B53E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H3 (Cross-model stability):</w:t>
      </w:r>
      <w:r w:rsidRPr="00E207A4">
        <w:rPr>
          <w:color w:val="000000" w:themeColor="text1"/>
        </w:rPr>
        <w:t xml:space="preserve"> Direction of H1/H2 replicates in ≥ 3 of 4 LLM families.</w:t>
      </w:r>
    </w:p>
    <w:p w14:paraId="2CBCFC97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H4 (Cross-dataset stability):</w:t>
      </w:r>
      <w:r w:rsidRPr="00E207A4">
        <w:rPr>
          <w:color w:val="000000" w:themeColor="text1"/>
        </w:rPr>
        <w:t xml:space="preserve"> Effects replicate in ≥ 70 % of contrasts on Bridge.</w:t>
      </w:r>
    </w:p>
    <w:p w14:paraId="69330A70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H5 (Ablation separability):</w:t>
      </w:r>
      <w:r w:rsidRPr="00E207A4">
        <w:rPr>
          <w:color w:val="000000" w:themeColor="text1"/>
        </w:rPr>
        <w:t xml:space="preserve"> Removing each structural element drops its target metric (8 ablations).</w:t>
      </w:r>
    </w:p>
    <w:p w14:paraId="662465DE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Equivalence (secondary):</w:t>
      </w:r>
      <w:r w:rsidRPr="00E207A4">
        <w:rPr>
          <w:color w:val="000000" w:themeColor="text1"/>
        </w:rPr>
        <w:t xml:space="preserve"> C3 ≈ C4 on all 9 dimensions (TOST, bound d = 0.3).</w:t>
      </w:r>
    </w:p>
    <w:p w14:paraId="1D64E72B" w14:textId="77777777" w:rsidR="00086F9C" w:rsidRPr="00E207A4" w:rsidRDefault="00000000">
      <w:pPr>
        <w:keepNext/>
        <w:spacing w:before="80"/>
        <w:rPr>
          <w:color w:val="000000" w:themeColor="text1"/>
        </w:rPr>
      </w:pPr>
      <w:r w:rsidRPr="00E207A4">
        <w:rPr>
          <w:b/>
          <w:color w:val="000000" w:themeColor="text1"/>
          <w:sz w:val="22"/>
        </w:rPr>
        <w:t>3. Experimental Design</w:t>
      </w:r>
    </w:p>
    <w:p w14:paraId="43051737" w14:textId="77777777" w:rsidR="00086F9C" w:rsidRPr="00E207A4" w:rsidRDefault="00000000">
      <w:pPr>
        <w:jc w:val="both"/>
        <w:rPr>
          <w:color w:val="000000" w:themeColor="text1"/>
        </w:rPr>
      </w:pPr>
      <w:r w:rsidRPr="00E207A4">
        <w:rPr>
          <w:color w:val="000000" w:themeColor="text1"/>
        </w:rPr>
        <w:t xml:space="preserve">We adopt a fully crossed </w:t>
      </w:r>
      <w:r w:rsidRPr="00E207A4">
        <w:rPr>
          <w:b/>
          <w:color w:val="000000" w:themeColor="text1"/>
        </w:rPr>
        <w:t>scenario × condition × seed × model</w:t>
      </w:r>
      <w:r w:rsidRPr="00E207A4">
        <w:rPr>
          <w:color w:val="000000" w:themeColor="text1"/>
        </w:rPr>
        <w:t xml:space="preserve"> design on the public </w:t>
      </w:r>
      <w:r w:rsidRPr="00E207A4">
        <w:rPr>
          <w:b/>
          <w:color w:val="000000" w:themeColor="text1"/>
        </w:rPr>
        <w:t>MathDial</w:t>
      </w:r>
      <w:r w:rsidRPr="00E207A4">
        <w:rPr>
          <w:color w:val="000000" w:themeColor="text1"/>
        </w:rPr>
        <w:t xml:space="preserve"> corpus (Macina et al., 2023; CC-BY-4.0), with cross-dataset replication on </w:t>
      </w:r>
      <w:r w:rsidRPr="00E207A4">
        <w:rPr>
          <w:b/>
          <w:color w:val="000000" w:themeColor="text1"/>
        </w:rPr>
        <w:t>Bridge</w:t>
      </w:r>
      <w:r w:rsidRPr="00E207A4">
        <w:rPr>
          <w:color w:val="000000" w:themeColor="text1"/>
        </w:rPr>
        <w:t xml:space="preserve"> (Wang et al., 2024). For every scenario, all conditions receive </w:t>
      </w:r>
      <w:r w:rsidRPr="00E207A4">
        <w:rPr>
          <w:b/>
          <w:color w:val="000000" w:themeColor="text1"/>
        </w:rPr>
        <w:t>identical tutor stimuli</w:t>
      </w:r>
      <w:r w:rsidRPr="00E207A4">
        <w:rPr>
          <w:color w:val="000000" w:themeColor="text1"/>
        </w:rPr>
        <w:t xml:space="preserve"> — MathDial human-tutor turns are replayed verbatim — so any condition difference cannot be attributed to differential tutor behaviour. A near-transfer probe (same structure, different numbers) is appended as the final turn in every condition.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814"/>
        <w:gridCol w:w="2154"/>
        <w:gridCol w:w="4819"/>
      </w:tblGrid>
      <w:tr w:rsidR="00086F9C" w:rsidRPr="00E207A4" w14:paraId="48CF0C43" w14:textId="77777777"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5587478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D78F11E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Condition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43C6D75A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Framework / Constraint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E406E2A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Required structural elements</w:t>
            </w:r>
          </w:p>
        </w:tc>
      </w:tr>
      <w:tr w:rsidR="00086F9C" w:rsidRPr="00E207A4" w14:paraId="21E4A7AD" w14:textId="77777777"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16395C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C1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A36227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b/>
                <w:color w:val="000000" w:themeColor="text1"/>
                <w:sz w:val="18"/>
              </w:rPr>
              <w:t>Teachable Agent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F942F2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Blair et al. (2007)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89EA0D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Ask questions • Explicit revision • Student stance • Independent transfer</w:t>
            </w:r>
          </w:p>
        </w:tc>
      </w:tr>
      <w:tr w:rsidR="00086F9C" w:rsidRPr="00E207A4" w14:paraId="746F4BDF" w14:textId="77777777"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015F1A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C2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AA5EAF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b/>
                <w:color w:val="000000" w:themeColor="text1"/>
                <w:sz w:val="18"/>
              </w:rPr>
              <w:t>Student Simulation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FF2B2E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Koedinger et al. (2015)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2841C1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Target misconception • Verbalised reasoning • Gradual learning • Prior-knowledge boundary</w:t>
            </w:r>
          </w:p>
        </w:tc>
      </w:tr>
      <w:tr w:rsidR="00086F9C" w:rsidRPr="00E207A4" w14:paraId="7E3BAB99" w14:textId="77777777"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BEA424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C3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ABFC20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Generic Learner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F44BFE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Baseline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14061F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Single instruction: "Act as a math student."</w:t>
            </w:r>
          </w:p>
        </w:tc>
      </w:tr>
      <w:tr w:rsidR="00086F9C" w:rsidRPr="00E207A4" w14:paraId="276913F3" w14:textId="77777777"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3312B4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C4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61627A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No-role Assistant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0BA90E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Control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61438B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Standard helpful-assistant prompt</w:t>
            </w:r>
          </w:p>
        </w:tc>
      </w:tr>
    </w:tbl>
    <w:p w14:paraId="052F0CB3" w14:textId="77777777" w:rsidR="00086F9C" w:rsidRPr="00E207A4" w:rsidRDefault="00000000">
      <w:pPr>
        <w:spacing w:after="60"/>
        <w:jc w:val="both"/>
        <w:rPr>
          <w:color w:val="000000" w:themeColor="text1"/>
        </w:rPr>
      </w:pPr>
      <w:r w:rsidRPr="00E207A4">
        <w:rPr>
          <w:b/>
          <w:color w:val="000000" w:themeColor="text1"/>
        </w:rPr>
        <w:t>Sample size.</w:t>
      </w:r>
      <w:r w:rsidRPr="00E207A4">
        <w:rPr>
          <w:color w:val="000000" w:themeColor="text1"/>
        </w:rPr>
        <w:t xml:space="preserve"> Main: 100 scenarios × 4 conditions × 3 seeds × 4 models = </w:t>
      </w:r>
      <w:r w:rsidRPr="00E207A4">
        <w:rPr>
          <w:b/>
          <w:color w:val="000000" w:themeColor="text1"/>
        </w:rPr>
        <w:t>4 800 dialogues</w:t>
      </w:r>
      <w:r w:rsidRPr="00E207A4">
        <w:rPr>
          <w:color w:val="000000" w:themeColor="text1"/>
        </w:rPr>
        <w:t xml:space="preserve">. Cross-dataset: 80 Bridge scenarios × 4 × 2 × 2 = </w:t>
      </w:r>
      <w:r w:rsidRPr="00E207A4">
        <w:rPr>
          <w:b/>
          <w:color w:val="000000" w:themeColor="text1"/>
        </w:rPr>
        <w:t>1 280 dialogues</w:t>
      </w:r>
      <w:r w:rsidRPr="00E207A4">
        <w:rPr>
          <w:color w:val="000000" w:themeColor="text1"/>
        </w:rPr>
        <w:t xml:space="preserve">. Ablations: 25 × 8 × 2 × 1 = </w:t>
      </w:r>
      <w:r w:rsidRPr="00E207A4">
        <w:rPr>
          <w:b/>
          <w:color w:val="000000" w:themeColor="text1"/>
        </w:rPr>
        <w:t>400 dialogues</w:t>
      </w:r>
      <w:r w:rsidRPr="00E207A4">
        <w:rPr>
          <w:color w:val="000000" w:themeColor="text1"/>
        </w:rPr>
        <w:t xml:space="preserve">. Human coding subset: </w:t>
      </w:r>
      <w:r w:rsidRPr="00E207A4">
        <w:rPr>
          <w:b/>
          <w:color w:val="000000" w:themeColor="text1"/>
        </w:rPr>
        <w:t>240 dialogues</w:t>
      </w:r>
      <w:r w:rsidRPr="00E207A4">
        <w:rPr>
          <w:color w:val="000000" w:themeColor="text1"/>
        </w:rPr>
        <w:t xml:space="preserve"> (15 per condition × model). Scenarios are stratified by topic × error-type × difficulty (χ² independence tests, all p &gt; .17).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685"/>
      </w:tblGrid>
      <w:tr w:rsidR="00086F9C" w:rsidRPr="00E207A4" w14:paraId="15DCE440" w14:textId="77777777"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906E413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Model family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8689DD2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Model ID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07B50F1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Role</w:t>
            </w:r>
          </w:p>
        </w:tc>
      </w:tr>
      <w:tr w:rsidR="00086F9C" w:rsidRPr="00E207A4" w14:paraId="60CFF16E" w14:textId="77777777"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2D35A7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OpenAI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703B2C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gpt-4o-2024-11-20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9ACDA5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Primary</w:t>
            </w:r>
          </w:p>
        </w:tc>
      </w:tr>
      <w:tr w:rsidR="00086F9C" w:rsidRPr="00E207A4" w14:paraId="2900244C" w14:textId="77777777"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6DF589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Anthropic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7143D1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claude-sonnet-4-5-20250929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43617E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Cross-family replication</w:t>
            </w:r>
          </w:p>
        </w:tc>
      </w:tr>
      <w:tr w:rsidR="00086F9C" w:rsidRPr="00E207A4" w14:paraId="48BFE9FF" w14:textId="77777777"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7D4550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Google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D8CF67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gemini-2.0-flash-001 (via OpenRouter)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9964E1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Cross-RLHF replication</w:t>
            </w:r>
          </w:p>
        </w:tc>
      </w:tr>
      <w:tr w:rsidR="00086F9C" w:rsidRPr="00E207A4" w14:paraId="1DEEEB4D" w14:textId="77777777"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80C8D0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Meta (open)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A479A0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Llama-3.1-70B-Instruct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DAD375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Reproducibility anchor</w:t>
            </w:r>
          </w:p>
        </w:tc>
      </w:tr>
    </w:tbl>
    <w:p w14:paraId="71C59A7F" w14:textId="77777777" w:rsidR="00086F9C" w:rsidRPr="00E207A4" w:rsidRDefault="00000000">
      <w:pPr>
        <w:jc w:val="both"/>
        <w:rPr>
          <w:color w:val="000000" w:themeColor="text1"/>
        </w:rPr>
      </w:pPr>
      <w:r w:rsidRPr="00E207A4">
        <w:rPr>
          <w:b/>
          <w:color w:val="000000" w:themeColor="text1"/>
        </w:rPr>
        <w:t>Frozen generation parameters.</w:t>
      </w:r>
      <w:r w:rsidRPr="00E207A4">
        <w:rPr>
          <w:color w:val="000000" w:themeColor="text1"/>
        </w:rPr>
        <w:t xml:space="preserve"> Temperature 0.7; max_tokens 600/turn; seeds [17, 42, 91]; prompts v1.0 (commit c2c41e6, read-only). Six pre-registered exclusion rules E1–E6 (empty turn, off-topic, refusal, overflow, missing transfer, role leakage) govern dialogue validity; rates are reported per condition × model.</w:t>
      </w:r>
    </w:p>
    <w:p w14:paraId="44C4FCD0" w14:textId="77777777" w:rsidR="00086F9C" w:rsidRPr="00E207A4" w:rsidRDefault="00000000">
      <w:pPr>
        <w:keepNext/>
        <w:spacing w:before="80"/>
        <w:rPr>
          <w:color w:val="000000" w:themeColor="text1"/>
        </w:rPr>
      </w:pPr>
      <w:r w:rsidRPr="00E207A4">
        <w:rPr>
          <w:b/>
          <w:color w:val="000000" w:themeColor="text1"/>
          <w:sz w:val="22"/>
        </w:rPr>
        <w:lastRenderedPageBreak/>
        <w:t>4. Measurement: Triangulating Human, Automatic and LLM-Judge Evidence</w:t>
      </w:r>
    </w:p>
    <w:p w14:paraId="54238902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Human coding (primary):</w:t>
      </w:r>
      <w:r w:rsidRPr="00E207A4">
        <w:rPr>
          <w:color w:val="000000" w:themeColor="text1"/>
        </w:rPr>
        <w:t xml:space="preserve"> 2 trained coders, 100 % overlap on 240 dialogues, blind to condition/model. 9 framework-aligned dimensions (TA1–TA4, SS1–SS5; 1–5 anchored scale). Gating reliability </w:t>
      </w:r>
      <w:r w:rsidRPr="00E207A4">
        <w:rPr>
          <w:b/>
          <w:color w:val="000000" w:themeColor="text1"/>
        </w:rPr>
        <w:t>ICC(2,k) ≥ 0.75</w:t>
      </w:r>
      <w:r w:rsidRPr="00E207A4">
        <w:rPr>
          <w:color w:val="000000" w:themeColor="text1"/>
        </w:rPr>
        <w:t>; arbitration by faculty third coder if |Δ| ≥ 2.</w:t>
      </w:r>
    </w:p>
    <w:p w14:paraId="724BFC92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Automatic trace metrics (secondary):</w:t>
      </w:r>
      <w:r w:rsidRPr="00E207A4">
        <w:rPr>
          <w:color w:val="000000" w:themeColor="text1"/>
        </w:rPr>
        <w:t xml:space="preserve"> 10 behaviour metrics computed on </w:t>
      </w:r>
      <w:r w:rsidRPr="00E207A4">
        <w:rPr>
          <w:b/>
          <w:color w:val="000000" w:themeColor="text1"/>
        </w:rPr>
        <w:t>all 6 480 valid dialogues</w:t>
      </w:r>
      <w:r w:rsidRPr="00E207A4">
        <w:rPr>
          <w:color w:val="000000" w:themeColor="text1"/>
        </w:rPr>
        <w:t xml:space="preserve"> (question-asking rate, target-error preservation, feedback uptake, transfer attempt, premature correctness, role drift, etc.); validated against human ratings (Spearman ρ).</w:t>
      </w:r>
    </w:p>
    <w:p w14:paraId="68256DFD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LLM-as-judge (generalisation):</w:t>
      </w:r>
      <w:r w:rsidRPr="00E207A4">
        <w:rPr>
          <w:color w:val="000000" w:themeColor="text1"/>
        </w:rPr>
        <w:t xml:space="preserve"> different-family judge (e.g., Claude Opus 4 or GPT-5), 3-pass median; calibrated against the 240 human ratings — dimension included </w:t>
      </w:r>
      <w:r w:rsidRPr="00E207A4">
        <w:rPr>
          <w:b/>
          <w:color w:val="000000" w:themeColor="text1"/>
        </w:rPr>
        <w:t>only if ICC(judge, human) ≥ 0.65</w:t>
      </w:r>
      <w:r w:rsidRPr="00E207A4">
        <w:rPr>
          <w:color w:val="000000" w:themeColor="text1"/>
        </w:rPr>
        <w:t>; family-bias check (Δ ≥ 0.5 flagged).</w:t>
      </w:r>
    </w:p>
    <w:p w14:paraId="7EF973F9" w14:textId="77777777" w:rsidR="00086F9C" w:rsidRPr="00E207A4" w:rsidRDefault="00000000">
      <w:pPr>
        <w:keepNext/>
        <w:spacing w:before="80"/>
        <w:rPr>
          <w:color w:val="000000" w:themeColor="text1"/>
        </w:rPr>
      </w:pPr>
      <w:r w:rsidRPr="00E207A4">
        <w:rPr>
          <w:b/>
          <w:color w:val="000000" w:themeColor="text1"/>
          <w:sz w:val="22"/>
        </w:rPr>
        <w:t>5. Statistical Analysis Plan</w:t>
      </w:r>
    </w:p>
    <w:p w14:paraId="42E31B55" w14:textId="77777777" w:rsidR="00086F9C" w:rsidRPr="00E207A4" w:rsidRDefault="00000000">
      <w:pPr>
        <w:jc w:val="both"/>
        <w:rPr>
          <w:color w:val="000000" w:themeColor="text1"/>
        </w:rPr>
      </w:pPr>
      <w:r w:rsidRPr="00E207A4">
        <w:rPr>
          <w:b/>
          <w:color w:val="000000" w:themeColor="text1"/>
        </w:rPr>
        <w:t>Primary model.</w:t>
      </w:r>
      <w:r w:rsidRPr="00E207A4">
        <w:rPr>
          <w:color w:val="000000" w:themeColor="text1"/>
        </w:rPr>
        <w:t xml:space="preserve"> Linear mixed-effects (lme4 via pymer4): `rating ~ condition * model_family + (1|scenario_id) + (1|coder_id)`, REML estimation, deviation coding with C4 as reference. </w:t>
      </w:r>
      <w:r w:rsidRPr="00E207A4">
        <w:rPr>
          <w:b/>
          <w:color w:val="000000" w:themeColor="text1"/>
        </w:rPr>
        <w:t>Multiple comparisons:</w:t>
      </w:r>
      <w:r w:rsidRPr="00E207A4">
        <w:rPr>
          <w:color w:val="000000" w:themeColor="text1"/>
        </w:rPr>
        <w:t xml:space="preserve"> Holm-Bonferroni over 4 primary contrast families (α = .0125); Benjamini-Hochberg FDR in supplement. </w:t>
      </w:r>
      <w:r w:rsidRPr="00E207A4">
        <w:rPr>
          <w:b/>
          <w:color w:val="000000" w:themeColor="text1"/>
        </w:rPr>
        <w:t>Effect sizes:</w:t>
      </w:r>
      <w:r w:rsidRPr="00E207A4">
        <w:rPr>
          <w:color w:val="000000" w:themeColor="text1"/>
        </w:rPr>
        <w:t xml:space="preserve"> Cohen's d with bootstrap 95 % CI (5 000 iterations). </w:t>
      </w:r>
      <w:r w:rsidRPr="00E207A4">
        <w:rPr>
          <w:b/>
          <w:color w:val="000000" w:themeColor="text1"/>
        </w:rPr>
        <w:t>Equivalence:</w:t>
      </w:r>
      <w:r w:rsidRPr="00E207A4">
        <w:rPr>
          <w:color w:val="000000" w:themeColor="text1"/>
        </w:rPr>
        <w:t xml:space="preserve"> TOST with bound d = 0.3 for C3-vs-C4. </w:t>
      </w:r>
      <w:r w:rsidRPr="00E207A4">
        <w:rPr>
          <w:b/>
          <w:color w:val="000000" w:themeColor="text1"/>
        </w:rPr>
        <w:t>Ablations:</w:t>
      </w:r>
      <w:r w:rsidRPr="00E207A4">
        <w:rPr>
          <w:color w:val="000000" w:themeColor="text1"/>
        </w:rPr>
        <w:t xml:space="preserve"> paired Wilcoxon vs. full protocol per target metric. </w:t>
      </w:r>
      <w:r w:rsidRPr="00E207A4">
        <w:rPr>
          <w:b/>
          <w:color w:val="000000" w:themeColor="text1"/>
        </w:rPr>
        <w:t>Power:</w:t>
      </w:r>
      <w:r w:rsidRPr="00E207A4">
        <w:rPr>
          <w:color w:val="000000" w:themeColor="text1"/>
        </w:rPr>
        <w:t xml:space="preserve"> MDE d ≈ 0.32 at 80 % power for n = 100 scenario-matched pairs; preliminary trace differences imply d &gt; 1.0.</w:t>
      </w:r>
    </w:p>
    <w:p w14:paraId="1D9C59BB" w14:textId="77777777" w:rsidR="00086F9C" w:rsidRPr="00E207A4" w:rsidRDefault="00000000">
      <w:pPr>
        <w:keepNext/>
        <w:spacing w:before="80"/>
        <w:rPr>
          <w:color w:val="000000" w:themeColor="text1"/>
        </w:rPr>
      </w:pPr>
      <w:r w:rsidRPr="00E207A4">
        <w:rPr>
          <w:b/>
          <w:color w:val="000000" w:themeColor="text1"/>
          <w:sz w:val="22"/>
        </w:rPr>
        <w:t>6. Robustness, Ethics, and Open Science</w:t>
      </w:r>
    </w:p>
    <w:p w14:paraId="122B2A36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Robustness grid:</w:t>
      </w:r>
      <w:r w:rsidRPr="00E207A4">
        <w:rPr>
          <w:color w:val="000000" w:themeColor="text1"/>
        </w:rPr>
        <w:t xml:space="preserve"> condition × {topic, error_type, difficulty, model, seed, dataset} splits; direction-consistency reported as primary robustness statistic.</w:t>
      </w:r>
    </w:p>
    <w:p w14:paraId="1CFF13D7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Pre-registration:</w:t>
      </w:r>
      <w:r w:rsidRPr="00E207A4">
        <w:rPr>
          <w:color w:val="000000" w:themeColor="text1"/>
        </w:rPr>
        <w:t xml:space="preserve"> analysis plan with H1–H5, exclusions and stopping rule committed to public GitHub before main generation (commit 27a554e, 2026-05-15 UTC).</w:t>
      </w:r>
    </w:p>
    <w:p w14:paraId="00A8D7C1" w14:textId="77777777" w:rsidR="00086F9C" w:rsidRPr="00E207A4" w:rsidRDefault="00000000">
      <w:pPr>
        <w:pStyle w:val="ListBullet"/>
        <w:spacing w:after="20" w:line="264" w:lineRule="auto"/>
        <w:rPr>
          <w:color w:val="000000" w:themeColor="text1"/>
        </w:rPr>
      </w:pPr>
      <w:r w:rsidRPr="00E207A4">
        <w:rPr>
          <w:b/>
          <w:color w:val="000000" w:themeColor="text1"/>
        </w:rPr>
        <w:t>Ethics &amp; reproducibility:</w:t>
      </w:r>
      <w:r w:rsidRPr="00E207A4">
        <w:rPr>
          <w:color w:val="000000" w:themeColor="text1"/>
        </w:rPr>
        <w:t xml:space="preserve"> IRB-exempt (public corpora only, no human subjects); all code, prompts, 4 800 dialogues, ratings and a Datasheet released under MIT/CC-BY-4.0 on GitHub + Zenodo.</w:t>
      </w:r>
    </w:p>
    <w:p w14:paraId="6869C6E0" w14:textId="77777777" w:rsidR="00086F9C" w:rsidRPr="00E207A4" w:rsidRDefault="00000000">
      <w:pPr>
        <w:keepNext/>
        <w:spacing w:before="80"/>
        <w:rPr>
          <w:color w:val="000000" w:themeColor="text1"/>
        </w:rPr>
      </w:pPr>
      <w:r w:rsidRPr="00E207A4">
        <w:rPr>
          <w:b/>
          <w:color w:val="000000" w:themeColor="text1"/>
          <w:sz w:val="22"/>
        </w:rPr>
        <w:t>7. Timeline and Deliverables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1417"/>
        <w:gridCol w:w="3685"/>
      </w:tblGrid>
      <w:tr w:rsidR="00086F9C" w:rsidRPr="00E207A4" w14:paraId="5637A6C3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CFF6F52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Phase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E5E69F7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Weeks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7140603" w14:textId="77777777" w:rsidR="00086F9C" w:rsidRPr="00E207A4" w:rsidRDefault="00000000">
            <w:pPr>
              <w:spacing w:before="20" w:after="20"/>
              <w:rPr>
                <w:color w:val="FFFFFF" w:themeColor="background1"/>
              </w:rPr>
            </w:pPr>
            <w:r w:rsidRPr="00E207A4">
              <w:rPr>
                <w:b/>
                <w:color w:val="FFFFFF" w:themeColor="background1"/>
                <w:sz w:val="18"/>
              </w:rPr>
              <w:t>Output</w:t>
            </w:r>
          </w:p>
        </w:tc>
      </w:tr>
      <w:tr w:rsidR="00086F9C" w:rsidRPr="00E207A4" w14:paraId="206193DE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05627A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P1–P2  Scenario bank + prompt freeze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9FC1C7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1–2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D9D8DE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Stratified bank (100 + 50); frozen prompts v1.0</w:t>
            </w:r>
          </w:p>
        </w:tc>
      </w:tr>
      <w:tr w:rsidR="00086F9C" w:rsidRPr="00E207A4" w14:paraId="31AF03E9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726F9B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P3  Pilot generation + codebook v1.1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3083D8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3EDCF2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400 pilot dialogues; reliability training set</w:t>
            </w:r>
          </w:p>
        </w:tc>
      </w:tr>
      <w:tr w:rsidR="00086F9C" w:rsidRPr="00E207A4" w14:paraId="48C64D7B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35CCE0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P4  Main generation (4 models)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016EF1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4–5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09C48E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4 800 dialogues + automatic trace metrics</w:t>
            </w:r>
          </w:p>
        </w:tc>
      </w:tr>
      <w:tr w:rsidR="00086F9C" w:rsidRPr="00E207A4" w14:paraId="34289A72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9755FA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P5  Bridge replication + ablations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CA400C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6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07D94F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1 280 + 400 dialogues</w:t>
            </w:r>
          </w:p>
        </w:tc>
      </w:tr>
      <w:tr w:rsidR="00086F9C" w:rsidRPr="00E207A4" w14:paraId="22AE9250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B9CCBA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P6  Human coding (240, ICC gate)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EFAFB9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7–9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350FDF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Coder ratings; ICC ≥ 0.75 confirmed</w:t>
            </w:r>
          </w:p>
        </w:tc>
      </w:tr>
      <w:tr w:rsidR="00086F9C" w:rsidRPr="00E207A4" w14:paraId="1C6BA1CF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2FD8A9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P7  LLM-judge calibration + scoring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979DD1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10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8E2D45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Judge ratings for n = 4 800</w:t>
            </w:r>
          </w:p>
        </w:tc>
      </w:tr>
      <w:tr w:rsidR="00086F9C" w:rsidRPr="00E207A4" w14:paraId="4C089BD0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2B51B2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P8  Analysis + writing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EA0F26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11–15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541DD1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Mixed-effects, TOST, ablations; manuscript draft</w:t>
            </w:r>
          </w:p>
        </w:tc>
      </w:tr>
      <w:tr w:rsidR="00086F9C" w:rsidRPr="00E207A4" w14:paraId="6F72A44D" w14:textId="77777777">
        <w:tc>
          <w:tcPr>
            <w:tcW w:w="4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4E5FF2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P9  Submission to Computers &amp; Education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C3712D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16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D98FEA" w14:textId="77777777" w:rsidR="00086F9C" w:rsidRPr="00E207A4" w:rsidRDefault="00000000">
            <w:pPr>
              <w:spacing w:before="20" w:after="20"/>
              <w:rPr>
                <w:color w:val="000000" w:themeColor="text1"/>
              </w:rPr>
            </w:pPr>
            <w:r w:rsidRPr="00E207A4">
              <w:rPr>
                <w:color w:val="000000" w:themeColor="text1"/>
                <w:sz w:val="18"/>
              </w:rPr>
              <w:t>arXiv preprint + journal submission</w:t>
            </w:r>
          </w:p>
        </w:tc>
      </w:tr>
    </w:tbl>
    <w:p w14:paraId="1C1602D5" w14:textId="77777777" w:rsidR="00086F9C" w:rsidRPr="00E207A4" w:rsidRDefault="00000000">
      <w:pPr>
        <w:spacing w:after="0"/>
        <w:jc w:val="both"/>
        <w:rPr>
          <w:color w:val="000000" w:themeColor="text1"/>
        </w:rPr>
      </w:pPr>
      <w:r w:rsidRPr="00E207A4">
        <w:rPr>
          <w:b/>
          <w:color w:val="000000" w:themeColor="text1"/>
        </w:rPr>
        <w:t>Expected contribution.</w:t>
      </w:r>
      <w:r w:rsidRPr="00E207A4">
        <w:rPr>
          <w:color w:val="000000" w:themeColor="text1"/>
        </w:rPr>
        <w:t xml:space="preserve"> (i) The first multi-model, multi-dataset, framework-aligned benchmark for LLM simulated learners; (ii) a use-case decision tree mapping protocol → educational purpose; (iii) an open-source replication package establishing methodological standards for future GenAI-in-education evaluation studies.</w:t>
      </w:r>
    </w:p>
    <w:sectPr w:rsidR="00086F9C" w:rsidRPr="00E207A4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071273">
    <w:abstractNumId w:val="8"/>
  </w:num>
  <w:num w:numId="2" w16cid:durableId="254023529">
    <w:abstractNumId w:val="6"/>
  </w:num>
  <w:num w:numId="3" w16cid:durableId="39328468">
    <w:abstractNumId w:val="5"/>
  </w:num>
  <w:num w:numId="4" w16cid:durableId="874660865">
    <w:abstractNumId w:val="4"/>
  </w:num>
  <w:num w:numId="5" w16cid:durableId="423890343">
    <w:abstractNumId w:val="7"/>
  </w:num>
  <w:num w:numId="6" w16cid:durableId="746876059">
    <w:abstractNumId w:val="3"/>
  </w:num>
  <w:num w:numId="7" w16cid:durableId="1532918544">
    <w:abstractNumId w:val="2"/>
  </w:num>
  <w:num w:numId="8" w16cid:durableId="853954805">
    <w:abstractNumId w:val="1"/>
  </w:num>
  <w:num w:numId="9" w16cid:durableId="98651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F9C"/>
    <w:rsid w:val="0015074B"/>
    <w:rsid w:val="0029639D"/>
    <w:rsid w:val="00326F90"/>
    <w:rsid w:val="0046188D"/>
    <w:rsid w:val="00882668"/>
    <w:rsid w:val="00AA1D8D"/>
    <w:rsid w:val="00B47730"/>
    <w:rsid w:val="00CB0664"/>
    <w:rsid w:val="00E20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BD8CE"/>
  <w14:defaultImageDpi w14:val="300"/>
  <w15:docId w15:val="{FA8A5CA3-EF4E-8342-8EB4-99923980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Meng, Xianghui</cp:lastModifiedBy>
  <cp:revision>3</cp:revision>
  <dcterms:created xsi:type="dcterms:W3CDTF">2013-12-23T23:15:00Z</dcterms:created>
  <dcterms:modified xsi:type="dcterms:W3CDTF">2026-05-19T14:49:00Z</dcterms:modified>
  <cp:category/>
</cp:coreProperties>
</file>