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2FF3F" w14:textId="77777777" w:rsidR="003C3392" w:rsidRDefault="0073412C">
      <w:pPr>
        <w:pBdr>
          <w:top w:val="nil"/>
          <w:left w:val="nil"/>
          <w:bottom w:val="nil"/>
          <w:right w:val="nil"/>
          <w:between w:val="nil"/>
        </w:pBdr>
        <w:jc w:val="center"/>
        <w:rPr>
          <w:b/>
          <w:sz w:val="28"/>
          <w:szCs w:val="28"/>
        </w:rPr>
      </w:pPr>
      <w:r>
        <w:rPr>
          <w:b/>
          <w:sz w:val="28"/>
          <w:szCs w:val="28"/>
        </w:rPr>
        <w:t>MSSP Consulting: Limited Duration Project</w:t>
      </w:r>
    </w:p>
    <w:p w14:paraId="644701CE" w14:textId="77777777" w:rsidR="003C3392" w:rsidRDefault="0073412C">
      <w:pPr>
        <w:pBdr>
          <w:top w:val="nil"/>
          <w:left w:val="nil"/>
          <w:bottom w:val="nil"/>
          <w:right w:val="nil"/>
          <w:between w:val="nil"/>
        </w:pBdr>
        <w:jc w:val="center"/>
        <w:rPr>
          <w:b/>
          <w:sz w:val="28"/>
          <w:szCs w:val="28"/>
        </w:rPr>
      </w:pPr>
      <w:r>
        <w:rPr>
          <w:b/>
          <w:sz w:val="28"/>
          <w:szCs w:val="28"/>
        </w:rPr>
        <w:t xml:space="preserve"> Description and Intended Scope</w:t>
      </w:r>
    </w:p>
    <w:p w14:paraId="131D2796" w14:textId="77777777" w:rsidR="007F4974" w:rsidRDefault="007F4974" w:rsidP="007F4974">
      <w:r>
        <w:rPr>
          <w:b/>
        </w:rPr>
        <w:t xml:space="preserve">Client: </w:t>
      </w:r>
      <w:r>
        <w:t xml:space="preserve"> </w:t>
      </w:r>
      <w:r w:rsidR="00A6569F">
        <w:t>Melissa Holt, Wheelock College:</w:t>
      </w:r>
      <w:r w:rsidR="00A6569F" w:rsidRPr="00A6569F">
        <w:t xml:space="preserve"> </w:t>
      </w:r>
      <w:r w:rsidR="00A6569F" w:rsidRPr="00A6569F">
        <w:t>Counseling and Applied Human Development</w:t>
      </w:r>
    </w:p>
    <w:p w14:paraId="6084609C" w14:textId="77777777" w:rsidR="007F4974" w:rsidRDefault="007F4974" w:rsidP="007F4974">
      <w:r>
        <w:rPr>
          <w:b/>
        </w:rPr>
        <w:t>MSSP Team</w:t>
      </w:r>
      <w:r>
        <w:t xml:space="preserve">: </w:t>
      </w:r>
      <w:r w:rsidR="00A6569F">
        <w:t>Ben, Group 2</w:t>
      </w:r>
    </w:p>
    <w:p w14:paraId="517B2693" w14:textId="77777777" w:rsidR="007F4974" w:rsidRDefault="007F4974" w:rsidP="007F4974">
      <w:r>
        <w:rPr>
          <w:b/>
        </w:rPr>
        <w:t>Intake Date</w:t>
      </w:r>
      <w:r>
        <w:t xml:space="preserve">: </w:t>
      </w:r>
      <w:r w:rsidR="00A6569F">
        <w:t>Oct 5, 2018</w:t>
      </w:r>
    </w:p>
    <w:p w14:paraId="7C83B070" w14:textId="77777777" w:rsidR="003C3392" w:rsidRDefault="003C3392">
      <w:pPr>
        <w:pBdr>
          <w:top w:val="nil"/>
          <w:left w:val="nil"/>
          <w:bottom w:val="nil"/>
          <w:right w:val="nil"/>
          <w:between w:val="nil"/>
        </w:pBdr>
        <w:rPr>
          <w:color w:val="555555"/>
          <w:highlight w:val="white"/>
        </w:rPr>
      </w:pPr>
    </w:p>
    <w:p w14:paraId="6314AD20" w14:textId="77777777" w:rsidR="003C3392" w:rsidRDefault="0073412C">
      <w:pPr>
        <w:pBdr>
          <w:top w:val="nil"/>
          <w:left w:val="nil"/>
          <w:bottom w:val="nil"/>
          <w:right w:val="nil"/>
          <w:between w:val="nil"/>
        </w:pBdr>
        <w:rPr>
          <w:color w:val="555555"/>
          <w:highlight w:val="white"/>
        </w:rPr>
      </w:pPr>
      <w:r>
        <w:rPr>
          <w:b/>
          <w:color w:val="555555"/>
          <w:highlight w:val="white"/>
        </w:rPr>
        <w:t xml:space="preserve">Purpose of the consulting: </w:t>
      </w:r>
      <w:r>
        <w:rPr>
          <w:color w:val="555555"/>
          <w:highlight w:val="white"/>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14:paraId="2B4288F5" w14:textId="77777777" w:rsidR="003C3392" w:rsidRDefault="003C3392">
      <w:pPr>
        <w:pBdr>
          <w:top w:val="nil"/>
          <w:left w:val="nil"/>
          <w:bottom w:val="nil"/>
          <w:right w:val="nil"/>
          <w:between w:val="nil"/>
        </w:pBdr>
        <w:rPr>
          <w:color w:val="555555"/>
          <w:highlight w:val="white"/>
        </w:rPr>
      </w:pPr>
    </w:p>
    <w:p w14:paraId="328CDACC" w14:textId="77777777" w:rsidR="003C3392" w:rsidRDefault="0073412C">
      <w:pPr>
        <w:pBdr>
          <w:top w:val="nil"/>
          <w:left w:val="nil"/>
          <w:bottom w:val="nil"/>
          <w:right w:val="nil"/>
          <w:between w:val="nil"/>
        </w:pBdr>
        <w:rPr>
          <w:color w:val="555555"/>
          <w:highlight w:val="white"/>
        </w:rPr>
      </w:pPr>
      <w:r>
        <w:rPr>
          <w:b/>
          <w:color w:val="555555"/>
          <w:highlight w:val="white"/>
        </w:rPr>
        <w:t xml:space="preserve">Scope of the project: </w:t>
      </w:r>
      <w:r>
        <w:rPr>
          <w:color w:val="555555"/>
          <w:highlight w:val="white"/>
        </w:rPr>
        <w:t xml:space="preserve">The project described below has been approved for what we call “limited duration” consultation.  As the name suggests, such projects are intended to be fairly focused, with a total duration of no more than 10 student </w:t>
      </w:r>
      <w:proofErr w:type="spellStart"/>
      <w:r>
        <w:rPr>
          <w:color w:val="555555"/>
          <w:highlight w:val="white"/>
        </w:rPr>
        <w:t>hours worth</w:t>
      </w:r>
      <w:proofErr w:type="spellEnd"/>
      <w:r>
        <w:rPr>
          <w:color w:val="555555"/>
          <w:highlight w:val="white"/>
        </w:rPr>
        <w:t xml:space="preserve"> of work. Consultation will involve MSSP student consultants and PhD leaders, supervised by MSSP program faculty.  An initial intake meeting should have been held in the MSSP Conference Room at 2 </w:t>
      </w:r>
      <w:proofErr w:type="spellStart"/>
      <w:r>
        <w:rPr>
          <w:color w:val="555555"/>
          <w:highlight w:val="white"/>
        </w:rPr>
        <w:t>Cummington</w:t>
      </w:r>
      <w:proofErr w:type="spellEnd"/>
      <w:r>
        <w:rPr>
          <w:color w:val="555555"/>
          <w:highlight w:val="white"/>
        </w:rPr>
        <w:t xml:space="preserve"> Mall and additional meetings, as needed, will be arranged at the mutual convenience of the client and the student consultants. </w:t>
      </w:r>
      <w:r>
        <w:rPr>
          <w:color w:val="FF0000"/>
          <w:highlight w:val="white"/>
        </w:rPr>
        <w:t xml:space="preserve">  </w:t>
      </w:r>
    </w:p>
    <w:p w14:paraId="60B29C00" w14:textId="77777777" w:rsidR="003C3392" w:rsidRDefault="003C3392">
      <w:pPr>
        <w:pBdr>
          <w:top w:val="nil"/>
          <w:left w:val="nil"/>
          <w:bottom w:val="nil"/>
          <w:right w:val="nil"/>
          <w:between w:val="nil"/>
        </w:pBdr>
        <w:rPr>
          <w:color w:val="555555"/>
          <w:highlight w:val="white"/>
        </w:rPr>
      </w:pPr>
    </w:p>
    <w:p w14:paraId="3F178850" w14:textId="77777777" w:rsidR="003C3392" w:rsidRDefault="0073412C">
      <w:pPr>
        <w:pBdr>
          <w:top w:val="nil"/>
          <w:left w:val="nil"/>
          <w:bottom w:val="nil"/>
          <w:right w:val="nil"/>
          <w:between w:val="nil"/>
        </w:pBdr>
        <w:rPr>
          <w:color w:val="555555"/>
          <w:highlight w:val="white"/>
        </w:rPr>
      </w:pPr>
      <w:r>
        <w:rPr>
          <w:b/>
          <w:color w:val="555555"/>
          <w:highlight w:val="white"/>
        </w:rPr>
        <w:t>Project description:</w:t>
      </w:r>
      <w:r>
        <w:rPr>
          <w:color w:val="555555"/>
          <w:highlight w:val="white"/>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427DD768" w14:textId="77777777" w:rsidTr="00B94B79">
        <w:trPr>
          <w:trHeight w:val="1311"/>
        </w:trPr>
        <w:tc>
          <w:tcPr>
            <w:tcW w:w="9360" w:type="dxa"/>
            <w:shd w:val="clear" w:color="auto" w:fill="auto"/>
            <w:tcMar>
              <w:top w:w="100" w:type="dxa"/>
              <w:left w:w="100" w:type="dxa"/>
              <w:bottom w:w="100" w:type="dxa"/>
              <w:right w:w="100" w:type="dxa"/>
            </w:tcMar>
          </w:tcPr>
          <w:p w14:paraId="04D53683" w14:textId="77777777" w:rsidR="003C3392" w:rsidRDefault="0073412C">
            <w:pPr>
              <w:pBdr>
                <w:top w:val="nil"/>
                <w:left w:val="nil"/>
                <w:bottom w:val="nil"/>
                <w:right w:val="nil"/>
                <w:between w:val="nil"/>
              </w:pBdr>
              <w:rPr>
                <w:color w:val="555555"/>
                <w:highlight w:val="white"/>
              </w:rPr>
            </w:pPr>
            <w:r>
              <w:rPr>
                <w:color w:val="555555"/>
                <w:highlight w:val="white"/>
              </w:rPr>
              <w:t>Based on the information provided during the intake meeting, our understanding of t</w:t>
            </w:r>
            <w:r w:rsidR="00A6569F">
              <w:rPr>
                <w:color w:val="555555"/>
                <w:highlight w:val="white"/>
              </w:rPr>
              <w:t>he client project is as follows</w:t>
            </w:r>
          </w:p>
          <w:p w14:paraId="02990414" w14:textId="77777777" w:rsidR="003C3392" w:rsidRPr="00674595" w:rsidRDefault="0018097C" w:rsidP="00674595">
            <w:pPr>
              <w:widowControl w:val="0"/>
              <w:numPr>
                <w:ilvl w:val="0"/>
                <w:numId w:val="2"/>
              </w:numPr>
              <w:pBdr>
                <w:top w:val="nil"/>
                <w:left w:val="nil"/>
                <w:bottom w:val="nil"/>
                <w:right w:val="nil"/>
                <w:between w:val="nil"/>
              </w:pBdr>
              <w:contextualSpacing/>
              <w:rPr>
                <w:color w:val="555555"/>
                <w:highlight w:val="white"/>
              </w:rPr>
            </w:pPr>
            <w:r w:rsidRPr="00674595">
              <w:rPr>
                <w:i/>
                <w:color w:val="555555"/>
                <w:highlight w:val="white"/>
              </w:rPr>
              <w:t>The Client wants to evaluate the relationship between violence exp</w:t>
            </w:r>
            <w:r w:rsidR="00674595" w:rsidRPr="00674595">
              <w:rPr>
                <w:i/>
                <w:color w:val="555555"/>
                <w:highlight w:val="white"/>
              </w:rPr>
              <w:t xml:space="preserve">osure and substance use among </w:t>
            </w:r>
            <w:r w:rsidRPr="00674595">
              <w:rPr>
                <w:i/>
                <w:color w:val="555555"/>
                <w:highlight w:val="white"/>
              </w:rPr>
              <w:t xml:space="preserve">LGBQ students and </w:t>
            </w:r>
            <w:r w:rsidR="00674595" w:rsidRPr="00674595">
              <w:rPr>
                <w:i/>
                <w:color w:val="555555"/>
                <w:highlight w:val="white"/>
              </w:rPr>
              <w:t>heterosexual youth</w:t>
            </w:r>
          </w:p>
          <w:p w14:paraId="433E277E" w14:textId="77777777" w:rsidR="00BE615C" w:rsidRPr="00BE615C" w:rsidRDefault="00A6569F" w:rsidP="00BE615C">
            <w:pPr>
              <w:pStyle w:val="ListParagraph"/>
              <w:widowControl w:val="0"/>
              <w:numPr>
                <w:ilvl w:val="0"/>
                <w:numId w:val="2"/>
              </w:numPr>
              <w:pBdr>
                <w:top w:val="nil"/>
                <w:left w:val="nil"/>
                <w:bottom w:val="nil"/>
                <w:right w:val="nil"/>
                <w:between w:val="nil"/>
              </w:pBdr>
              <w:spacing w:line="240" w:lineRule="auto"/>
              <w:rPr>
                <w:color w:val="555555"/>
                <w:highlight w:val="white"/>
              </w:rPr>
            </w:pPr>
            <w:r>
              <w:rPr>
                <w:color w:val="555555"/>
                <w:highlight w:val="white"/>
              </w:rPr>
              <w:t xml:space="preserve">Analyze the effect of </w:t>
            </w:r>
            <w:r w:rsidR="00BE615C">
              <w:rPr>
                <w:color w:val="555555"/>
                <w:highlight w:val="white"/>
              </w:rPr>
              <w:t xml:space="preserve">parental social emotional support, </w:t>
            </w:r>
            <w:r w:rsidR="004C6E5D">
              <w:rPr>
                <w:color w:val="555555"/>
                <w:highlight w:val="white"/>
              </w:rPr>
              <w:t>school connectedness, and several types of extracurricular</w:t>
            </w:r>
            <w:r>
              <w:rPr>
                <w:color w:val="555555"/>
                <w:highlight w:val="white"/>
              </w:rPr>
              <w:t xml:space="preserve"> on the relationship</w:t>
            </w:r>
          </w:p>
        </w:tc>
      </w:tr>
    </w:tbl>
    <w:p w14:paraId="70BD77F6" w14:textId="77777777" w:rsidR="003C3392" w:rsidRDefault="003C3392">
      <w:pPr>
        <w:pBdr>
          <w:top w:val="nil"/>
          <w:left w:val="nil"/>
          <w:bottom w:val="nil"/>
          <w:right w:val="nil"/>
          <w:between w:val="nil"/>
        </w:pBdr>
        <w:rPr>
          <w:color w:val="555555"/>
          <w:highlight w:val="white"/>
        </w:rPr>
      </w:pPr>
    </w:p>
    <w:p w14:paraId="2FB007A3" w14:textId="77777777" w:rsidR="003C3392" w:rsidRDefault="003C3392">
      <w:pPr>
        <w:pBdr>
          <w:top w:val="nil"/>
          <w:left w:val="nil"/>
          <w:bottom w:val="nil"/>
          <w:right w:val="nil"/>
          <w:between w:val="nil"/>
        </w:pBdr>
        <w:rPr>
          <w:b/>
          <w:color w:val="555555"/>
          <w:highlight w:val="white"/>
        </w:rPr>
      </w:pPr>
    </w:p>
    <w:p w14:paraId="0F21C804" w14:textId="77777777" w:rsidR="003C3392" w:rsidRDefault="0073412C">
      <w:pPr>
        <w:pBdr>
          <w:top w:val="nil"/>
          <w:left w:val="nil"/>
          <w:bottom w:val="nil"/>
          <w:right w:val="nil"/>
          <w:between w:val="nil"/>
        </w:pBdr>
        <w:rPr>
          <w:b/>
          <w:color w:val="555555"/>
          <w:highlight w:val="white"/>
        </w:rPr>
      </w:pPr>
      <w:r>
        <w:rPr>
          <w:b/>
          <w:color w:val="555555"/>
          <w:highlight w:val="white"/>
        </w:rPr>
        <w:t>Initial milestone: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08ECD745" w14:textId="77777777" w:rsidTr="00A6569F">
        <w:trPr>
          <w:trHeight w:val="2328"/>
        </w:trPr>
        <w:tc>
          <w:tcPr>
            <w:tcW w:w="9360" w:type="dxa"/>
            <w:shd w:val="clear" w:color="auto" w:fill="auto"/>
            <w:tcMar>
              <w:top w:w="100" w:type="dxa"/>
              <w:left w:w="100" w:type="dxa"/>
              <w:bottom w:w="100" w:type="dxa"/>
              <w:right w:w="100" w:type="dxa"/>
            </w:tcMar>
          </w:tcPr>
          <w:p w14:paraId="1E030617" w14:textId="77777777" w:rsidR="003C3392" w:rsidRDefault="0073412C">
            <w:pPr>
              <w:pBdr>
                <w:top w:val="nil"/>
                <w:left w:val="nil"/>
                <w:bottom w:val="nil"/>
                <w:right w:val="nil"/>
                <w:between w:val="nil"/>
              </w:pBdr>
              <w:rPr>
                <w:color w:val="555555"/>
                <w:highlight w:val="white"/>
              </w:rPr>
            </w:pPr>
            <w:r>
              <w:rPr>
                <w:color w:val="555555"/>
                <w:highlight w:val="white"/>
              </w:rPr>
              <w:t>To address the client needs, our proposal is to provide the following by MM/DD/YYYY.</w:t>
            </w:r>
          </w:p>
          <w:p w14:paraId="750D6284" w14:textId="77777777" w:rsidR="003C3392" w:rsidRDefault="003C3392" w:rsidP="0018097C">
            <w:pPr>
              <w:widowControl w:val="0"/>
              <w:pBdr>
                <w:top w:val="nil"/>
                <w:left w:val="nil"/>
                <w:bottom w:val="nil"/>
                <w:right w:val="nil"/>
                <w:between w:val="nil"/>
              </w:pBdr>
              <w:ind w:left="720"/>
              <w:contextualSpacing/>
              <w:rPr>
                <w:i/>
                <w:color w:val="555555"/>
                <w:highlight w:val="white"/>
              </w:rPr>
            </w:pPr>
          </w:p>
          <w:p w14:paraId="1D894AB5" w14:textId="77777777" w:rsidR="00FE3FC8" w:rsidRPr="0018097C" w:rsidRDefault="0018097C" w:rsidP="0018097C">
            <w:pPr>
              <w:pStyle w:val="ListParagraph"/>
              <w:widowControl w:val="0"/>
              <w:numPr>
                <w:ilvl w:val="0"/>
                <w:numId w:val="1"/>
              </w:numPr>
              <w:pBdr>
                <w:top w:val="nil"/>
                <w:left w:val="nil"/>
                <w:bottom w:val="nil"/>
                <w:right w:val="nil"/>
                <w:between w:val="nil"/>
              </w:pBdr>
              <w:spacing w:line="240" w:lineRule="auto"/>
              <w:rPr>
                <w:i/>
                <w:color w:val="555555"/>
                <w:highlight w:val="white"/>
                <w:lang w:val="en-US" w:eastAsia="zh-CN"/>
              </w:rPr>
            </w:pPr>
            <w:r>
              <w:rPr>
                <w:i/>
                <w:color w:val="555555"/>
                <w:highlight w:val="white"/>
                <w:lang w:eastAsia="zh-CN"/>
              </w:rPr>
              <w:t>Data preparation. (transform the data from SPSS to CSV in r)</w:t>
            </w:r>
          </w:p>
          <w:p w14:paraId="3703B2D5" w14:textId="77777777" w:rsidR="0018097C" w:rsidRPr="0018097C" w:rsidRDefault="0018097C" w:rsidP="0018097C">
            <w:pPr>
              <w:pStyle w:val="ListParagraph"/>
              <w:widowControl w:val="0"/>
              <w:numPr>
                <w:ilvl w:val="0"/>
                <w:numId w:val="1"/>
              </w:numPr>
              <w:pBdr>
                <w:top w:val="nil"/>
                <w:left w:val="nil"/>
                <w:bottom w:val="nil"/>
                <w:right w:val="nil"/>
                <w:between w:val="nil"/>
              </w:pBdr>
              <w:spacing w:line="240" w:lineRule="auto"/>
              <w:rPr>
                <w:i/>
                <w:color w:val="555555"/>
                <w:highlight w:val="white"/>
                <w:lang w:val="en-US" w:eastAsia="zh-CN"/>
              </w:rPr>
            </w:pPr>
            <w:r>
              <w:rPr>
                <w:i/>
                <w:color w:val="555555"/>
                <w:highlight w:val="white"/>
                <w:lang w:eastAsia="zh-CN"/>
              </w:rPr>
              <w:t>Data visualization</w:t>
            </w:r>
            <w:r w:rsidR="00A6569F">
              <w:rPr>
                <w:i/>
                <w:color w:val="555555"/>
                <w:highlight w:val="white"/>
                <w:lang w:eastAsia="zh-CN"/>
              </w:rPr>
              <w:t xml:space="preserve"> (Analyzing </w:t>
            </w:r>
            <w:r w:rsidR="00A6569F" w:rsidRPr="00674595">
              <w:rPr>
                <w:i/>
                <w:color w:val="555555"/>
                <w:highlight w:val="white"/>
              </w:rPr>
              <w:t>violence exposure and substance use</w:t>
            </w:r>
            <w:r w:rsidR="00A6569F">
              <w:rPr>
                <w:i/>
                <w:color w:val="555555"/>
                <w:highlight w:val="white"/>
              </w:rPr>
              <w:t xml:space="preserve"> while controlling individual and contextual factors</w:t>
            </w:r>
            <w:r w:rsidR="00A6569F">
              <w:rPr>
                <w:i/>
                <w:color w:val="555555"/>
                <w:highlight w:val="white"/>
                <w:lang w:eastAsia="zh-CN"/>
              </w:rPr>
              <w:t>)</w:t>
            </w:r>
          </w:p>
          <w:p w14:paraId="23F06E3F" w14:textId="77777777" w:rsidR="0018097C" w:rsidRDefault="0018097C" w:rsidP="0018097C">
            <w:pPr>
              <w:pStyle w:val="ListParagraph"/>
              <w:widowControl w:val="0"/>
              <w:numPr>
                <w:ilvl w:val="0"/>
                <w:numId w:val="1"/>
              </w:numPr>
              <w:pBdr>
                <w:top w:val="nil"/>
                <w:left w:val="nil"/>
                <w:bottom w:val="nil"/>
                <w:right w:val="nil"/>
                <w:between w:val="nil"/>
              </w:pBdr>
              <w:spacing w:line="240" w:lineRule="auto"/>
              <w:rPr>
                <w:i/>
                <w:color w:val="555555"/>
                <w:highlight w:val="white"/>
                <w:lang w:val="en-US" w:eastAsia="zh-CN"/>
              </w:rPr>
            </w:pPr>
            <w:r>
              <w:rPr>
                <w:i/>
                <w:color w:val="555555"/>
                <w:highlight w:val="white"/>
                <w:lang w:val="en-US" w:eastAsia="zh-CN"/>
              </w:rPr>
              <w:t>Variables exploration and building</w:t>
            </w:r>
            <w:r w:rsidR="00A6569F">
              <w:rPr>
                <w:i/>
                <w:color w:val="555555"/>
                <w:highlight w:val="white"/>
                <w:lang w:val="en-US" w:eastAsia="zh-CN"/>
              </w:rPr>
              <w:t xml:space="preserve"> response variables</w:t>
            </w:r>
          </w:p>
          <w:p w14:paraId="59C22AB2" w14:textId="77777777" w:rsidR="003F22C6" w:rsidRPr="00A6569F" w:rsidRDefault="0018097C" w:rsidP="00FE3FC8">
            <w:pPr>
              <w:pStyle w:val="ListParagraph"/>
              <w:widowControl w:val="0"/>
              <w:numPr>
                <w:ilvl w:val="0"/>
                <w:numId w:val="1"/>
              </w:numPr>
              <w:pBdr>
                <w:top w:val="nil"/>
                <w:left w:val="nil"/>
                <w:bottom w:val="nil"/>
                <w:right w:val="nil"/>
                <w:between w:val="nil"/>
              </w:pBdr>
              <w:spacing w:line="240" w:lineRule="auto"/>
              <w:rPr>
                <w:i/>
                <w:color w:val="555555"/>
                <w:highlight w:val="white"/>
                <w:lang w:val="en-US" w:eastAsia="zh-CN"/>
              </w:rPr>
            </w:pPr>
            <w:r>
              <w:rPr>
                <w:i/>
                <w:color w:val="555555"/>
                <w:highlight w:val="white"/>
                <w:lang w:val="en-US" w:eastAsia="zh-CN"/>
              </w:rPr>
              <w:t>Building the regression model</w:t>
            </w:r>
            <w:bookmarkStart w:id="0" w:name="_GoBack"/>
            <w:bookmarkEnd w:id="0"/>
          </w:p>
        </w:tc>
      </w:tr>
    </w:tbl>
    <w:p w14:paraId="010B1510" w14:textId="77777777" w:rsidR="003C3392" w:rsidRDefault="003C3392">
      <w:pPr>
        <w:pBdr>
          <w:top w:val="nil"/>
          <w:left w:val="nil"/>
          <w:bottom w:val="nil"/>
          <w:right w:val="nil"/>
          <w:between w:val="nil"/>
        </w:pBdr>
        <w:rPr>
          <w:b/>
          <w:color w:val="555555"/>
          <w:highlight w:val="white"/>
        </w:rPr>
      </w:pPr>
    </w:p>
    <w:p w14:paraId="2133B39F" w14:textId="77777777" w:rsidR="007F4974" w:rsidRDefault="0073412C">
      <w:pPr>
        <w:pBdr>
          <w:top w:val="nil"/>
          <w:left w:val="nil"/>
          <w:bottom w:val="nil"/>
          <w:right w:val="nil"/>
          <w:between w:val="nil"/>
        </w:pBdr>
        <w:rPr>
          <w:color w:val="555555"/>
          <w:highlight w:val="white"/>
        </w:rPr>
      </w:pPr>
      <w:r>
        <w:rPr>
          <w:b/>
          <w:color w:val="555555"/>
          <w:highlight w:val="white"/>
        </w:rPr>
        <w:t>Attribution:</w:t>
      </w:r>
      <w:r>
        <w:rPr>
          <w:color w:val="555555"/>
          <w:highlight w:val="white"/>
        </w:rPr>
        <w:t xml:space="preserve"> When the scope of the work is of `limited duration’ but nevertheless is used in any sort of academic product (e.g., presentation, project, abstract, or publication), we would ask that you please include an appropriate acknowledgment. For example, clients may include “We </w:t>
      </w:r>
      <w:r>
        <w:rPr>
          <w:color w:val="555555"/>
          <w:highlight w:val="white"/>
        </w:rPr>
        <w:lastRenderedPageBreak/>
        <w:t>acknowledge the help of [NAME] of the MSSP statistical consulting service under the guidance of Professor [NAME].” as a footnote accompanying grant support and related</w:t>
      </w:r>
      <w:r>
        <w:rPr>
          <w:color w:val="555555"/>
          <w:highlight w:val="white"/>
          <w:vertAlign w:val="superscript"/>
        </w:rPr>
        <w:footnoteReference w:id="1"/>
      </w:r>
      <w:r>
        <w:rPr>
          <w:color w:val="555555"/>
          <w:highlight w:val="white"/>
        </w:rPr>
        <w:t>.</w:t>
      </w:r>
    </w:p>
    <w:p w14:paraId="577EA611" w14:textId="77777777" w:rsidR="003C3392" w:rsidRDefault="0073412C">
      <w:pPr>
        <w:pBdr>
          <w:top w:val="nil"/>
          <w:left w:val="nil"/>
          <w:bottom w:val="nil"/>
          <w:right w:val="nil"/>
          <w:between w:val="nil"/>
        </w:pBdr>
        <w:rPr>
          <w:color w:val="555555"/>
          <w:highlight w:val="white"/>
        </w:rPr>
      </w:pPr>
      <w:r>
        <w:rPr>
          <w:b/>
          <w:color w:val="555555"/>
          <w:highlight w:val="white"/>
        </w:rPr>
        <w:t>Modification of Intended Scope of Work:</w:t>
      </w:r>
      <w:r>
        <w:rPr>
          <w:color w:val="555555"/>
          <w:highlight w:val="white"/>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14:paraId="30B5AE36" w14:textId="77777777" w:rsidR="003C3392" w:rsidRDefault="003C3392">
      <w:pPr>
        <w:pBdr>
          <w:top w:val="nil"/>
          <w:left w:val="nil"/>
          <w:bottom w:val="nil"/>
          <w:right w:val="nil"/>
          <w:between w:val="nil"/>
        </w:pBdr>
        <w:rPr>
          <w:b/>
          <w:sz w:val="28"/>
          <w:szCs w:val="28"/>
        </w:rPr>
      </w:pPr>
    </w:p>
    <w:sectPr w:rsidR="003C339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30875" w14:textId="77777777" w:rsidR="0004611C" w:rsidRDefault="0004611C">
      <w:r>
        <w:separator/>
      </w:r>
    </w:p>
  </w:endnote>
  <w:endnote w:type="continuationSeparator" w:id="0">
    <w:p w14:paraId="76D58323" w14:textId="77777777" w:rsidR="0004611C" w:rsidRDefault="0004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2F49C" w14:textId="77777777" w:rsidR="0004611C" w:rsidRDefault="0004611C">
      <w:r>
        <w:separator/>
      </w:r>
    </w:p>
  </w:footnote>
  <w:footnote w:type="continuationSeparator" w:id="0">
    <w:p w14:paraId="56BE1A3D" w14:textId="77777777" w:rsidR="0004611C" w:rsidRDefault="0004611C">
      <w:r>
        <w:continuationSeparator/>
      </w:r>
    </w:p>
  </w:footnote>
  <w:footnote w:id="1">
    <w:p w14:paraId="58408001" w14:textId="77777777" w:rsidR="003C3392" w:rsidRDefault="0073412C">
      <w:pPr>
        <w:rPr>
          <w:sz w:val="18"/>
          <w:szCs w:val="18"/>
        </w:rPr>
      </w:pPr>
      <w:r>
        <w:rPr>
          <w:vertAlign w:val="superscript"/>
        </w:rPr>
        <w:footnoteRef/>
      </w:r>
      <w:r>
        <w:rPr>
          <w:sz w:val="20"/>
          <w:szCs w:val="20"/>
        </w:rPr>
        <w:t xml:space="preserve"> </w:t>
      </w:r>
      <w:r>
        <w:rPr>
          <w:sz w:val="18"/>
          <w:szCs w:val="18"/>
        </w:rPr>
        <w:t xml:space="preserve">We explicitly do </w:t>
      </w:r>
      <w:r>
        <w:rPr>
          <w:sz w:val="18"/>
          <w:szCs w:val="18"/>
          <w:u w:val="single"/>
        </w:rPr>
        <w:t>not</w:t>
      </w:r>
      <w:r>
        <w:rPr>
          <w:sz w:val="18"/>
          <w:szCs w:val="18"/>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Pr>
            <w:color w:val="1155CC"/>
            <w:sz w:val="18"/>
            <w:szCs w:val="18"/>
            <w:u w:val="single"/>
          </w:rPr>
          <w:t xml:space="preserve">American Statistical Association’s guide </w:t>
        </w:r>
      </w:hyperlink>
      <w:hyperlink r:id="rId2">
        <w:r>
          <w:rPr>
            <w:i/>
            <w:color w:val="1155CC"/>
            <w:sz w:val="18"/>
            <w:szCs w:val="18"/>
            <w:u w:val="single"/>
          </w:rPr>
          <w:t>When You Consult a Statistician … What to Expect</w:t>
        </w:r>
      </w:hyperlink>
      <w:r>
        <w:rPr>
          <w:sz w:val="18"/>
          <w:szCs w:val="18"/>
        </w:rPr>
        <w:t>, which states that any such product “should acknowledge the participation of the statistician, consistent with the value of that participation.”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B4B2A"/>
    <w:multiLevelType w:val="multilevel"/>
    <w:tmpl w:val="B4B0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C4000ED"/>
    <w:multiLevelType w:val="multilevel"/>
    <w:tmpl w:val="78CA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92"/>
    <w:rsid w:val="0004611C"/>
    <w:rsid w:val="0018097C"/>
    <w:rsid w:val="003C3392"/>
    <w:rsid w:val="003F22C6"/>
    <w:rsid w:val="004C6E5D"/>
    <w:rsid w:val="00674595"/>
    <w:rsid w:val="0073412C"/>
    <w:rsid w:val="007F4974"/>
    <w:rsid w:val="00A6569F"/>
    <w:rsid w:val="00B94B79"/>
    <w:rsid w:val="00BE615C"/>
    <w:rsid w:val="00FE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BB70"/>
  <w15:docId w15:val="{6E5F3825-4D30-4EDF-B4F3-76D543C3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69F"/>
    <w:pPr>
      <w:spacing w:line="240" w:lineRule="auto"/>
    </w:pPr>
    <w:rPr>
      <w:rFonts w:ascii="Times New Roman" w:hAnsi="Times New Roman" w:cs="Times New Roman"/>
      <w:sz w:val="24"/>
      <w:szCs w:val="24"/>
      <w:lang w:val="en-US" w:eastAsia="zh-CN"/>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eastAsia="en-US"/>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eastAsia="en-US"/>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eastAsia="en-US"/>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eastAsia="en-US"/>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eastAsia="en-US"/>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eastAsia="en-US"/>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eastAsia="en-US"/>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8097C"/>
    <w:pPr>
      <w:spacing w:line="276" w:lineRule="auto"/>
      <w:ind w:left="720"/>
      <w:contextualSpacing/>
    </w:pPr>
    <w:rPr>
      <w:rFonts w:ascii="Arial" w:hAnsi="Arial" w:cs="Arial"/>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0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higherlogicdownload.s3.amazonaws.com/AMSTAT/8bd153bf-f076-4d42-b3f4-6f522d50d935/UploadedImages/SCSBrochure%202013.pdf" TargetMode="External"/><Relationship Id="rId2"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ELIZABETHU</dc:creator>
  <cp:lastModifiedBy>Microsoft Office User</cp:lastModifiedBy>
  <cp:revision>3</cp:revision>
  <dcterms:created xsi:type="dcterms:W3CDTF">2018-09-10T17:04:00Z</dcterms:created>
  <dcterms:modified xsi:type="dcterms:W3CDTF">2018-10-05T16:09:00Z</dcterms:modified>
</cp:coreProperties>
</file>