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nowledgeTitle"/>
      </w:pPr>
      <w:r>
        <w:rPr>
          <w:rFonts w:ascii="Calibri" w:hAnsi="Calibri" w:eastAsia="Microsoft YaHei"/>
          <w:b/>
          <w:color w:val="0B2545"/>
          <w:sz w:val="48"/>
        </w:rPr>
        <w:t>知识库 Agent 设计说明</w:t>
      </w:r>
    </w:p>
    <w:p>
      <w:pPr>
        <w:spacing w:before="40" w:after="120" w:line="276" w:lineRule="auto"/>
        <w:shd w:fill="F4F6F9"/>
        <w:pBdr>
          <w:left w:val="single" w:sz="18" w:color="2E74B5" w:space="8"/>
        </w:pBdr>
      </w:pPr>
      <w:r>
        <w:rPr>
          <w:rFonts w:ascii="Calibri" w:hAnsi="Calibri" w:eastAsia="Microsoft YaHei"/>
          <w:color w:val="475467"/>
          <w:sz w:val="20"/>
        </w:rPr>
        <w:t>文档类型：MVP 产品与技术设计说明  |  版本：v1.0  |  日期：2026-08-02</w:t>
      </w:r>
    </w:p>
    <w:p>
      <w:pPr>
        <w:spacing w:before="40" w:after="120" w:line="276" w:lineRule="auto"/>
        <w:shd w:fill="F4F6F9"/>
        <w:pBdr>
          <w:left w:val="single" w:sz="18" w:color="2E74B5" w:space="8"/>
        </w:pBdr>
      </w:pPr>
      <w:r>
        <w:rPr>
          <w:rFonts w:ascii="Calibri" w:hAnsi="Calibri" w:eastAsia="Microsoft YaHei"/>
          <w:color w:val="475467"/>
          <w:sz w:val="20"/>
        </w:rPr>
        <w:t>目标：让知识库 Agent 基于结构化需求与选品结果，只调用真实存在、可用且适配当前任务的资产；当数量或类型不足时，明确进入人工决策分支，不虚构资产。</w:t>
      </w:r>
    </w:p>
    <w:p>
      <w:pPr>
        <w:pStyle w:val="Heading1"/>
      </w:pPr>
      <w:r>
        <w:t>1. 定位与边界</w:t>
      </w:r>
    </w:p>
    <w:p>
      <w:r>
        <w:t>知识库 Agent 位于需求理解 Agent、选品 Agent 与创意方案/生成 Agent 之间。它不负责生成最终图片或视频，也不替代知识资产的运营管理；它负责把“本次生成需要什么资产”转换成可追溯的资产调用快照。</w:t>
      </w:r>
    </w:p>
    <w:p>
      <w:r>
        <w:t>标准链路为：意图理解 → 资产召回 → 资产过滤 → 资产排序 → 数量和类型校验 → 输出资产或反馈缺失。</w:t>
      </w:r>
    </w:p>
    <w:p>
      <w:pPr>
        <w:pStyle w:val="Heading2"/>
      </w:pPr>
      <w:r>
        <w:t>1.1 输入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800"/>
        <w:gridCol w:w="44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输入方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输入内容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MVP 使用字段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需求理解 Agent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结构化需求快照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生成形式、渠道、品牌、版位比例、风格标签、商品类目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选品 Agent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已排序且经运营确认的商品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商品 ID、商品名称、类目、Top10/Top20 清单</w:t>
            </w:r>
          </w:p>
        </w:tc>
      </w:tr>
    </w:tbl>
    <w:p>
      <w:pPr>
        <w:spacing w:after="40"/>
      </w:pPr>
    </w:p>
    <w:p>
      <w:pPr>
        <w:pStyle w:val="Heading2"/>
      </w:pPr>
      <w:r>
        <w:t>1.2 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800"/>
        <w:gridCol w:w="44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输出对象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正常分支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异常分支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任务编排 Agent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资产调用清单、版本、推荐分、评分拆解、覆盖校验结果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缺失资产类型、缺失数量、缺失原因、运营决策结果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创意方案/生成 Agent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冻结后的资产快照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运营确认“接受缺口”或“调整方案”后的新快照</w:t>
            </w:r>
          </w:p>
        </w:tc>
      </w:tr>
    </w:tbl>
    <w:p>
      <w:pPr>
        <w:spacing w:after="40"/>
      </w:pPr>
    </w:p>
    <w:p>
      <w:pPr>
        <w:pStyle w:val="Heading1"/>
      </w:pPr>
      <w:r>
        <w:t>2. 资产分类</w:t>
      </w:r>
    </w:p>
    <w:p>
      <w:pPr>
        <w:pStyle w:val="Heading2"/>
      </w:pPr>
      <w:r>
        <w:t>2.1 公共资产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2300"/>
        <w:gridCol w:w="30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资产类型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图片任务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视频任务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品牌 Logo（brand_logo）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品牌识别、标准色和安全区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必需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必需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字体（font）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标题、正文、数字和价格表达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必需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可由字幕模板内置，MVP 图片必需</w:t>
            </w:r>
          </w:p>
        </w:tc>
      </w:tr>
    </w:tbl>
    <w:p>
      <w:pPr>
        <w:spacing w:after="40"/>
      </w:pPr>
    </w:p>
    <w:p>
      <w:pPr>
        <w:pStyle w:val="Heading2"/>
      </w:pPr>
      <w:r>
        <w:t>2.2 图片资产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800"/>
        <w:gridCol w:w="44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资产类型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默认数量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商品图（product_image）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商品主体、细节、角度和白底图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图片背景（background_image）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场景、氛围、促销或品牌背景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图片版式模板（image_layout）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商品、文案、Logo 与 CTA 的版式及安全区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</w:pPr>
      <w:r>
        <w:t>2.3 视频资产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800"/>
        <w:gridCol w:w="44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资产类型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默认数量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商品图（product_image）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商品主体、细节与画中画素材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视频模板（video_template）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Hook、场景、利益点、CTA 的镜头结构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数字人（digital_human）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产品讲解、场景种草、权益说明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3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视频背景（video_background）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口播、演示或产品承载场景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字幕样式（subtitle_style）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重点词、价格和 CTA 的字幕表现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背景音乐（bgm）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节奏、情绪与转场承接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pStyle w:val="Heading1"/>
      </w:pPr>
      <w:r>
        <w:t>3. 数据字段</w:t>
      </w:r>
    </w:p>
    <w:p>
      <w:pPr>
        <w:pStyle w:val="Heading2"/>
      </w:pPr>
      <w:r>
        <w:t>3.1 身份与治理字段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2300"/>
        <w:gridCol w:w="30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示例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assetId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string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全局唯一资产 ID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HUM-DIGITAL-001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name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string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运营可读名称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数码产品讲解员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assetType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enum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10 类资产之一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digital_human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mediaType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enum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common / image / video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video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status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enum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active / expired / unlisted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active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version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string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资产版本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v2.0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owner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string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资产责任团队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数字人资产组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updatedAt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date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最近更新时间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2026-07-21</w:t>
            </w:r>
          </w:p>
        </w:tc>
      </w:tr>
    </w:tbl>
    <w:p>
      <w:pPr>
        <w:spacing w:after="40"/>
      </w:pPr>
    </w:p>
    <w:p>
      <w:pPr>
        <w:pStyle w:val="Heading2"/>
      </w:pPr>
      <w:r>
        <w:t>3.2 文件与质量字段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2300"/>
        <w:gridCol w:w="30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过滤用途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filePath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string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对象存储或逻辑文件路径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读取资产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fileFormat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string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png、svg、mp4、json 等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兼容性判断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fileSize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integer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字节数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识别空文件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checksum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string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文件校验和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重复与损坏识别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fileHealthy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boolean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文件是否可读取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损坏过滤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duplicateOf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string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被判定重复时指向原资产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重复过滤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quality.resolution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0–100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清晰度/分辨率质量分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低于 70 过滤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quality.completeness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0–100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元数据和素材完整度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排序质量分</w:t>
            </w:r>
          </w:p>
        </w:tc>
      </w:tr>
    </w:tbl>
    <w:p>
      <w:pPr>
        <w:spacing w:after="40"/>
      </w:pPr>
    </w:p>
    <w:p>
      <w:pPr>
        <w:pStyle w:val="Heading2"/>
      </w:pPr>
      <w:r>
        <w:t>3.3 适用性与授权字段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2300"/>
        <w:gridCol w:w="30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示例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license.status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enum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available / unavailable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available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license.expiresAt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date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授权到期时间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2029-12-31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license.regions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array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允许使用地域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CN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brandScopes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array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可用品牌范围，all 表示通用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平台品牌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channels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array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可用渠道，all 表示通用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信息流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aspectRatios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array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可用比例，all 表示通用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9:16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tags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array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风格、用途、表达标签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真实、轻促销、数码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categories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array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适用商品类目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手机数码、电脑办公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productIds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array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绑定商品；空数组表示通用资产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ITM-88310</w:t>
            </w:r>
          </w:p>
        </w:tc>
      </w:tr>
    </w:tbl>
    <w:p>
      <w:pPr>
        <w:spacing w:after="40"/>
      </w:pPr>
    </w:p>
    <w:p>
      <w:pPr>
        <w:pStyle w:val="Heading1"/>
      </w:pPr>
      <w:r>
        <w:t>4. 召回规则</w:t>
      </w:r>
    </w:p>
    <w:p>
      <w:pPr>
        <w:pStyle w:val="Heading2"/>
      </w:pPr>
      <w:r>
        <w:t>4.1 生成形式路由</w:t>
      </w:r>
    </w:p>
    <w:p>
      <w:r>
        <w:t>图片任务仅召回 product_image、background_image、brand_logo、font、image_layout；视频任务仅召回 product_image、video_template、digital_human、video_background、subtitle_style、brand_logo、bgm。未被当前任务需要的类型不进入候选集。</w:t>
      </w:r>
    </w:p>
    <w:p>
      <w:pPr>
        <w:pStyle w:val="Heading2"/>
      </w:pPr>
      <w:r>
        <w:t>4.2 召回键</w:t>
      </w:r>
    </w:p>
    <w:p>
      <w:pPr>
        <w:numPr>
          <w:ilvl w:val="0"/>
          <w:numId w:val="41"/>
        </w:numPr>
      </w:pPr>
      <w:r>
        <w:t>以资产类型为第一层硬路由。</w:t>
      </w:r>
    </w:p>
    <w:p>
      <w:pPr>
        <w:numPr>
          <w:ilvl w:val="0"/>
          <w:numId w:val="41"/>
        </w:numPr>
      </w:pPr>
      <w:r>
        <w:t>以商品 ID 和商品类目召回商品专属或类目相关资产。</w:t>
      </w:r>
    </w:p>
    <w:p>
      <w:pPr>
        <w:numPr>
          <w:ilvl w:val="0"/>
          <w:numId w:val="41"/>
        </w:numPr>
      </w:pPr>
      <w:r>
        <w:t>以渠道、版位比例、品牌范围和风格标签扩展候选。</w:t>
      </w:r>
    </w:p>
    <w:p>
      <w:pPr>
        <w:numPr>
          <w:ilvl w:val="0"/>
          <w:numId w:val="41"/>
        </w:numPr>
      </w:pPr>
      <w:r>
        <w:t>通用资产使用 all 或空商品绑定召回，但排序优先级低于精确匹配资产。</w:t>
      </w:r>
    </w:p>
    <w:p>
      <w:pPr>
        <w:pStyle w:val="Heading2"/>
      </w:pPr>
      <w:r>
        <w:t>4.3 召回结果约束</w:t>
      </w:r>
    </w:p>
    <w:p>
      <w:r>
        <w:t>召回结果必须保留召回原因、来源文件和版本。MVP 为本地 JSON；正式版本可替换为向量检索、标签倒排或混合检索，但输出契约不变。</w:t>
      </w:r>
    </w:p>
    <w:p>
      <w:pPr>
        <w:pStyle w:val="Heading1"/>
      </w:pPr>
      <w:r>
        <w:t>5. 过滤规则</w:t>
      </w:r>
    </w:p>
    <w:p>
      <w:r>
        <w:t>过滤采用“单资产单主因”计数，按以下优先级执行，便于漏斗统计和问题定位。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2300"/>
        <w:gridCol w:w="30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规则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判定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处理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1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已失效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status = expired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直接淘汰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2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已下架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status = unlisted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直接淘汰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3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重复资产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duplicateOf 非空或校验和重复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保留原资产，淘汰副本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4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文件损坏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fileHealthy = false、空文件或校验失败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直接淘汰并告警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5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清晰度不足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quality.resolution &lt; 70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淘汰，允许运营补充高质量版本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6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版权不可用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license.status ≠ available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直接淘汰，不允许静默降级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7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品牌不适用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brandScopes 不含当前品牌或 all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淘汰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8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渠道不适用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channels 不含当前渠道或 all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淘汰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9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尺寸不适用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aspectRatios 不含当前比例或 all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淘汰</w:t>
            </w:r>
          </w:p>
        </w:tc>
      </w:tr>
    </w:tbl>
    <w:p>
      <w:pPr>
        <w:spacing w:after="40"/>
      </w:pPr>
    </w:p>
    <w:p>
      <w:r>
        <w:t>正式版本还应将授权地域和到期时间加入实时校验，并把文件损坏、版权失效等治理问题写回知识库运营队列。</w:t>
      </w:r>
    </w:p>
    <w:p>
      <w:pPr>
        <w:pStyle w:val="Heading1"/>
      </w:pPr>
      <w:r>
        <w:t>6. 排序规则</w:t>
      </w:r>
    </w:p>
    <w:p>
      <w:r>
        <w:t>过滤后的资产在各自类型内部排序，不允许用高分背景替代缺失数字人。MVP 综合分如下：</w:t>
      </w:r>
    </w:p>
    <w:p>
      <w:r>
        <w:t>综合推荐分 = 需求匹配 × 30% + 商品匹配 × 25% + 渠道匹配 × 20% + 风格匹配 × 15% + 质量分 × 10%。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800"/>
        <w:gridCol w:w="44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计算重点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需求匹配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类目与结构化需求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精确类目优先于通用资产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商品匹配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商品 ID、商品类目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商品专属资产优先于无绑定资产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渠道匹配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当前渠道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精确渠道优先于 all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风格匹配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tags 与 styleTags 交集比例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真实、轻促销、数码等标签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质量分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resolution 与 completeness 均值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只对通过硬过滤的资产排序</w:t>
            </w:r>
          </w:p>
        </w:tc>
      </w:tr>
    </w:tbl>
    <w:p>
      <w:pPr>
        <w:spacing w:after="40"/>
      </w:pPr>
    </w:p>
    <w:p>
      <w:r>
        <w:t>同分时按 assetId 升序保证结果稳定。后续可加入运营确认率、生成成功率、投放 CTR/CVR 和素材审核通过率作为回流特征，并按渠道或人群动态调权。</w:t>
      </w:r>
    </w:p>
    <w:p>
      <w:pPr>
        <w:pStyle w:val="Heading1"/>
      </w:pPr>
      <w:r>
        <w:t>7. 数量和类型校验</w:t>
      </w:r>
    </w:p>
    <w:p>
      <w:r>
        <w:t>知识库 Agent 按“创意方案需要数量”与“过滤后可用数量”逐类型比对。每类资产输出 required、available、selected 和 ready/missing 状态。</w:t>
      </w:r>
    </w:p>
    <w:p>
      <w:r>
        <w:t>图片 MVP 默认需要 5 类资产各 1 个。视频 MVP 默认需要 1 个商品图、1 个视频模板、3 个数字人、1 个视频背景、1 个字幕样式、1 个品牌 Logo 和 1 个 BGM。数字人需要覆盖产品讲解、场景种草和权益说明三个方向；即使现有两个数字人综合分很高，也不能将 2/3 判定为齐全。</w:t>
      </w:r>
    </w:p>
    <w:p>
      <w:pPr>
        <w:pStyle w:val="Heading1"/>
      </w:pPr>
      <w:r>
        <w:t>8. 缺失资产处理</w:t>
      </w:r>
    </w:p>
    <w:p>
      <w:pPr>
        <w:pStyle w:val="Heading2"/>
      </w:pPr>
      <w:r>
        <w:t>8.1 反馈契约</w:t>
      </w:r>
    </w:p>
    <w:p>
      <w:r>
        <w:t>每个缺口必须包含：资产类型、要求数量、可用数量、缺失数量、缺失原因、可选动作。知识库 Agent 状态置为 needs_decision，并把结果交给任务编排 Agent。</w:t>
      </w:r>
    </w:p>
    <w:p>
      <w:pPr>
        <w:pStyle w:val="Heading2"/>
      </w:pPr>
      <w:r>
        <w:t>8.2 运营决策</w:t>
      </w:r>
    </w:p>
    <w:p>
      <w:pPr>
        <w:numPr>
          <w:ilvl w:val="0"/>
          <w:numId w:val="41"/>
        </w:numPr>
      </w:pPr>
      <w:r>
        <w:t>补充相应资产：打开资产补充入口，新增后重新执行过滤、排序与校验。</w:t>
      </w:r>
    </w:p>
    <w:p>
      <w:pPr>
        <w:numPr>
          <w:ilvl w:val="0"/>
          <w:numId w:val="41"/>
        </w:numPr>
      </w:pPr>
      <w:r>
        <w:t>补充数字人：针对数字人缺口进入专用补充入口。</w:t>
      </w:r>
    </w:p>
    <w:p>
      <w:pPr>
        <w:numPr>
          <w:ilvl w:val="0"/>
          <w:numId w:val="41"/>
        </w:numPr>
      </w:pPr>
      <w:r>
        <w:t>不补充，继续生产：记录“接受缺口”的人工决策和风险，不伪造资产。</w:t>
      </w:r>
    </w:p>
    <w:p>
      <w:pPr>
        <w:numPr>
          <w:ilvl w:val="0"/>
          <w:numId w:val="41"/>
        </w:numPr>
      </w:pPr>
      <w:r>
        <w:t>调整当前创意方案：降低数量、删除资产类型或切换表达方式，然后重新校验。</w:t>
      </w:r>
    </w:p>
    <w:p>
      <w:r>
        <w:t>MVP 的补充资产写入本任务临时资产集；正式版本必须进入知识库审核、授权、版本和发布流程。所有决策应记录操作者、时间、原缺口、最终方案和资产快照版本。</w:t>
      </w:r>
    </w:p>
    <w:p>
      <w:pPr>
        <w:pStyle w:val="Heading1"/>
      </w:pPr>
      <w:r>
        <w:t>9. 样例资产数据</w:t>
      </w:r>
    </w:p>
    <w:p>
      <w:r>
        <w:t>每类资源在本地目录提供 1–2 条数据；其中部分第二条记录故意设置为失效、下架、重复、损坏、低清晰度、版权不可用或适用范围不匹配，用于跑通过滤链路。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2300"/>
        <w:gridCol w:w="30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资产类型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样例 1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样例 2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预期结果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商品图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PIMG-88310-HERO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PIMG-19028-LOW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第一条可用，第二条清晰度不足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图片背景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IBG-LIFE-001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IBG-CHANNEL-008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第一条可用，第二条品牌不适用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品牌 Logo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LOGO-PLATFORM-001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LOGO-PLATFORM-OLD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第一条可用，第二条已失效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字体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FONT-MODERN-001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FONT-DISPLAY-009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第一条可用，第二条版权不可用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图片版式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LAYOUT-FEED-405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LAYOUT-SQUARE-101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第一条可用，第二条渠道/尺寸不适用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视频模板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VTPL-HOOK-001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VTPL-OLD-004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第一条可用，第二条已下架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数字人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HUM-DIGITAL-001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HUM-LIFE-002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两条可用，但默认需要 3 条，形成缺口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视频背景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VBG-STUDIO-001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VBG-TECH-ERR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第一条可用，第二条文件损坏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字幕样式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SUB-HIGHLIGHT-001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SUB-HIGHLIGHT-COPY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第一条可用，第二条重复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44054"/>
                <w:sz w:val="18"/>
              </w:rPr>
              <w:t>背景音乐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BGM-ELECTRONIC-001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BGM-TREND-009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344054"/>
                <w:sz w:val="18"/>
              </w:rPr>
              <w:t>第一条可用，第二条版权不可用</w:t>
            </w:r>
          </w:p>
        </w:tc>
      </w:tr>
    </w:tbl>
    <w:p>
      <w:pPr>
        <w:spacing w:after="40"/>
      </w:pPr>
    </w:p>
    <w:p>
      <w:pPr>
        <w:pStyle w:val="Heading1"/>
      </w:pPr>
      <w:r>
        <w:t>10. 接口示例</w:t>
      </w:r>
    </w:p>
    <w:p>
      <w:pPr>
        <w:pStyle w:val="Heading2"/>
      </w:pPr>
      <w:r>
        <w:t>10.1 输入</w:t>
      </w:r>
    </w:p>
    <w:p>
      <w:pPr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344054"/>
          <w:sz w:val="16"/>
        </w:rPr>
        <w:t>{</w:t>
        <w:br/>
        <w:t xml:space="preserve">  "taskType": "video",</w:t>
        <w:br/>
        <w:t xml:space="preserve">  "requirement": {</w:t>
        <w:br/>
        <w:t xml:space="preserve">    "channel": "信息流",</w:t>
        <w:br/>
        <w:t xml:space="preserve">    "brand": "平台品牌",</w:t>
        <w:br/>
        <w:t xml:space="preserve">    "aspectRatio": "9:16",</w:t>
        <w:br/>
        <w:t xml:space="preserve">    "styleTags": ["真实", "轻促销", "数码", "快节奏"],</w:t>
        <w:br/>
        <w:t xml:space="preserve">    "categories": ["手机数码", "电脑办公"]</w:t>
        <w:br/>
        <w:t xml:space="preserve">  },</w:t>
        <w:br/>
        <w:t xml:space="preserve">  "products": [</w:t>
        <w:br/>
        <w:t xml:space="preserve">    { "id": "ITM-88310", "name": "轻薄旗舰笔记本", "category": "电脑办公" }</w:t>
        <w:br/>
        <w:t xml:space="preserve">  ]</w:t>
        <w:br/>
        <w:t>}</w:t>
      </w:r>
    </w:p>
    <w:p>
      <w:pPr>
        <w:pStyle w:val="Heading2"/>
      </w:pPr>
      <w:r>
        <w:t>10.2 缺失输出</w:t>
      </w:r>
    </w:p>
    <w:p>
      <w:pPr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344054"/>
          <w:sz w:val="16"/>
        </w:rPr>
        <w:t>{</w:t>
        <w:br/>
        <w:t xml:space="preserve">  "status": "needs_decision",</w:t>
        <w:br/>
        <w:t xml:space="preserve">  "missingAssets": [</w:t>
        <w:br/>
        <w:t xml:space="preserve">    {</w:t>
        <w:br/>
        <w:t xml:space="preserve">      "type": "digital_human",</w:t>
        <w:br/>
        <w:t xml:space="preserve">      "required": 3,</w:t>
        <w:br/>
        <w:t xml:space="preserve">      "available": 2,</w:t>
        <w:br/>
        <w:t xml:space="preserve">      "missingCount": 1,</w:t>
        <w:br/>
        <w:t xml:space="preserve">      "actions": ["补充相应资产", "补充数字人", "不补充，继续生产", "调整当前创意方案"]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11. MVP 验收标准</w:t>
      </w:r>
    </w:p>
    <w:p>
      <w:pPr>
        <w:numPr>
          <w:ilvl w:val="0"/>
          <w:numId w:val="41"/>
        </w:numPr>
      </w:pPr>
      <w:r>
        <w:t>图片任务不会召回视频模板、数字人、BGM 等无关资产；视频任务不会召回图片背景和图片版式。</w:t>
      </w:r>
    </w:p>
    <w:p>
      <w:pPr>
        <w:numPr>
          <w:ilvl w:val="0"/>
          <w:numId w:val="41"/>
        </w:numPr>
      </w:pPr>
      <w:r>
        <w:t>九类过滤原因均可计数，并且被过滤资产不能进入排序和最终调用清单。</w:t>
      </w:r>
    </w:p>
    <w:p>
      <w:pPr>
        <w:numPr>
          <w:ilvl w:val="0"/>
          <w:numId w:val="41"/>
        </w:numPr>
      </w:pPr>
      <w:r>
        <w:t>各资产类型独立排序，结果可查看五维评分拆解。</w:t>
      </w:r>
    </w:p>
    <w:p>
      <w:pPr>
        <w:numPr>
          <w:ilvl w:val="0"/>
          <w:numId w:val="41"/>
        </w:numPr>
      </w:pPr>
      <w:r>
        <w:t>图片样例链路可得到完整资产清单；视频样例链路必须识别数字人 2/3 缺口。</w:t>
      </w:r>
    </w:p>
    <w:p>
      <w:pPr>
        <w:numPr>
          <w:ilvl w:val="0"/>
          <w:numId w:val="41"/>
        </w:numPr>
      </w:pPr>
      <w:r>
        <w:t>运营可补充资产、补充数字人、接受缺口继续或调整方案，操作后得到明确状态。</w:t>
      </w:r>
    </w:p>
    <w:p>
      <w:pPr>
        <w:numPr>
          <w:ilvl w:val="0"/>
          <w:numId w:val="41"/>
        </w:numPr>
      </w:pPr>
      <w:r>
        <w:t>最终调用清单包含资产 ID、版本、推荐分和输入需求/商品快照，可供任务编排和生成阶段追溯。</w:t>
      </w:r>
    </w:p>
    <w:p>
      <w:pPr>
        <w:pStyle w:val="Heading1"/>
      </w:pPr>
      <w:r>
        <w:t>12. 后续演进</w:t>
      </w:r>
    </w:p>
    <w:p>
      <w:r>
        <w:t>短期接入知识库新增/审核/发布流程与真实对象存储；中期引入向量与标签混合召回、授权到期任务、生成成功率和人工确认结果；长期引入投放数据回流、按渠道/人群动态调权及资产自动淘汰策略。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知识库 Agent 设计说明  ·  MVP 产品与技术参考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1">
    <w:abstractNumId w:val="41"/>
  </w: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nowledgeTitle">
    <w:name w:val="Knowledge Title"/>
    <w:pPr>
      <w:keepNext/>
      <w:widowControl/>
      <w:spacing w:before="200" w:after="160" w:line="240" w:lineRule="auto"/>
    </w:pPr>
    <w:rPr>
      <w:rFonts w:ascii="Calibri" w:hAnsi="Calibri" w:eastAsia="Microsoft YaHei"/>
      <w:b/>
      <w:color w:val="0B2545"/>
      <w:sz w:val="48"/>
    </w:rPr>
  </w:style>
  <w:style w:type="paragraph" w:customStyle="1" w:styleId="KnowledgeCode">
    <w:name w:val="Knowledge Code"/>
    <w:pPr>
      <w:widowControl/>
      <w:spacing w:before="0" w:after="120" w:line="252" w:lineRule="auto"/>
    </w:pPr>
    <w:rPr>
      <w:rFonts w:ascii="Calibri" w:hAnsi="Calibri" w:eastAsia="Microsoft YaHei"/>
      <w:b w:val="0"/>
      <w:color w:val="34405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知识库 Agent 设计说明</dc:title>
  <dc:subject>电商广告素材生成知识资产召回、过滤、排序与缺失处理</dc:subject>
  <dc:creator>创意智造台产品团队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