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0217" w14:textId="77777777" w:rsidR="00445026" w:rsidRPr="00E6251A" w:rsidRDefault="00445026" w:rsidP="00445026">
      <w:pPr>
        <w:rPr>
          <w:szCs w:val="21"/>
        </w:rPr>
      </w:pPr>
    </w:p>
    <w:p w14:paraId="509B193A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运动学模型</w:t>
      </w:r>
    </w:p>
    <w:p w14:paraId="69239D0F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吊具看作是连杆</w:t>
      </w:r>
    </w:p>
    <w:p w14:paraId="164D443C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由平面位置矢量关系可得到，自由漂浮机械臂杆件</w:t>
      </w:r>
      <m:oMath>
        <m:r>
          <w:rPr>
            <w:rFonts w:ascii="Cambria Math" w:hAnsi="Cambria Math"/>
            <w:szCs w:val="21"/>
          </w:rPr>
          <m:t>i</m:t>
        </m:r>
      </m:oMath>
      <w:r w:rsidRPr="00E6251A">
        <w:rPr>
          <w:rFonts w:hint="eastAsia"/>
          <w:szCs w:val="21"/>
        </w:rPr>
        <w:t>的质心在惯性系下的位置矢量为：</w:t>
      </w:r>
    </w:p>
    <w:p w14:paraId="2D3F67F9" w14:textId="2B355A9A" w:rsidR="00445026" w:rsidRPr="00E6251A" w:rsidRDefault="00000000" w:rsidP="00445026">
      <w:pPr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4847B71" w14:textId="77777777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</w:p>
    <w:p w14:paraId="1980A2E7" w14:textId="77777777" w:rsidR="00445026" w:rsidRPr="00E6251A" w:rsidRDefault="00445026" w:rsidP="00445026">
      <w:pPr>
        <w:ind w:firstLine="420"/>
        <w:rPr>
          <w:szCs w:val="21"/>
        </w:rPr>
      </w:pPr>
    </w:p>
    <w:p w14:paraId="76F62D57" w14:textId="77777777" w:rsidR="00445026" w:rsidRPr="00E6251A" w:rsidRDefault="00445026" w:rsidP="00445026">
      <w:pPr>
        <w:ind w:firstLine="420"/>
        <w:rPr>
          <w:szCs w:val="21"/>
        </w:rPr>
      </w:pPr>
    </w:p>
    <w:p w14:paraId="5D365000" w14:textId="77777777" w:rsidR="00445026" w:rsidRPr="00E6251A" w:rsidRDefault="00445026" w:rsidP="00445026">
      <w:pPr>
        <w:ind w:firstLine="420"/>
        <w:rPr>
          <w:szCs w:val="21"/>
        </w:rPr>
      </w:pPr>
    </w:p>
    <w:p w14:paraId="07A7F156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动力学模型推导</w:t>
      </w:r>
    </w:p>
    <w:p w14:paraId="50E221D8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使用拉格朗日法推导系统动力学，首先建立系统的拉格朗日函数：</w:t>
      </w:r>
    </w:p>
    <w:p w14:paraId="0E393EC1" w14:textId="4051AF7F" w:rsidR="00445026" w:rsidRPr="00E6251A" w:rsidRDefault="00000000" w:rsidP="00445026">
      <w:pPr>
        <w:spacing w:line="360" w:lineRule="auto"/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/>
                  <w:szCs w:val="21"/>
                </w:rPr>
                <m:t>=T-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45291913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其中，</w:t>
      </w:r>
      <m:oMath>
        <m:r>
          <w:rPr>
            <w:rFonts w:ascii="Cambria Math" w:hAnsi="Cambria Math"/>
            <w:szCs w:val="21"/>
          </w:rPr>
          <m:t>L</m:t>
        </m:r>
      </m:oMath>
      <w:r w:rsidRPr="00E6251A">
        <w:rPr>
          <w:rFonts w:hint="eastAsia"/>
          <w:szCs w:val="21"/>
        </w:rPr>
        <w:t>为拉格朗日函数，</w:t>
      </w:r>
      <m:oMath>
        <m:r>
          <w:rPr>
            <w:rFonts w:ascii="Cambria Math" w:hAnsi="Cambria Math"/>
            <w:szCs w:val="21"/>
          </w:rPr>
          <m:t>T</m:t>
        </m:r>
      </m:oMath>
      <w:r w:rsidRPr="00E6251A">
        <w:rPr>
          <w:rFonts w:hint="eastAsia"/>
          <w:szCs w:val="21"/>
        </w:rPr>
        <w:t>为系统的总动能，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</m:oMath>
      <w:r w:rsidRPr="00E6251A">
        <w:rPr>
          <w:rFonts w:hint="eastAsia"/>
          <w:szCs w:val="21"/>
        </w:rPr>
        <w:t>为系统的总势能。</w:t>
      </w:r>
    </w:p>
    <w:p w14:paraId="54B3D920" w14:textId="77777777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  <w:r w:rsidRPr="00E6251A">
        <w:rPr>
          <w:rFonts w:hint="eastAsia"/>
          <w:szCs w:val="21"/>
        </w:rPr>
        <w:t>由于系统处于空间环境中，忽略重力对其影响，则系统的总势能为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Pr="00E6251A">
        <w:rPr>
          <w:rFonts w:hint="eastAsia"/>
          <w:szCs w:val="21"/>
        </w:rPr>
        <w:t>，故拉格朗日函数为：</w:t>
      </w:r>
    </w:p>
    <w:p w14:paraId="129D77B2" w14:textId="10FE06EF" w:rsidR="00445026" w:rsidRPr="00E6251A" w:rsidRDefault="00000000" w:rsidP="00445026">
      <w:pPr>
        <w:spacing w:line="360" w:lineRule="auto"/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q</m:t>
              </m:r>
              <m:r>
                <w:rPr>
                  <w:rFonts w:ascii="Cambria Math" w:hAnsi="Cambria Math"/>
                  <w:szCs w:val="21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)=T(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q</m:t>
              </m:r>
              <m:r>
                <w:rPr>
                  <w:rFonts w:ascii="Cambria Math" w:hAnsi="Cambria Math"/>
                  <w:szCs w:val="21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3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3E059DB0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q</m:t>
        </m:r>
      </m:oMath>
      <w:r w:rsidRPr="00E6251A">
        <w:rPr>
          <w:rFonts w:hint="eastAsia"/>
          <w:szCs w:val="21"/>
        </w:rPr>
        <w:t>是系统的广义坐标向量。</w:t>
      </w:r>
    </w:p>
    <w:p w14:paraId="787F415A" w14:textId="77777777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  <w:r w:rsidRPr="00E6251A">
        <w:rPr>
          <w:rFonts w:hint="eastAsia"/>
          <w:szCs w:val="21"/>
        </w:rPr>
        <w:t>系统的拉格朗日方程为：</w:t>
      </w:r>
    </w:p>
    <w:p w14:paraId="44FB006C" w14:textId="0D504D35" w:rsidR="00445026" w:rsidRPr="00E6251A" w:rsidRDefault="00000000" w:rsidP="00445026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 xml:space="preserve"> i=1,2,⋯,n#</m:t>
              </m:r>
              <m:d>
                <m:d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6C4C0A45" w14:textId="67850AB8" w:rsidR="00445026" w:rsidRPr="00E6251A" w:rsidRDefault="00445026" w:rsidP="00445026">
      <w:pPr>
        <w:rPr>
          <w:iCs/>
          <w:szCs w:val="21"/>
        </w:rPr>
      </w:pPr>
      <w:r w:rsidRPr="00E6251A">
        <w:rPr>
          <w:rFonts w:hint="eastAsia"/>
          <w:iCs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q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6251A">
        <w:rPr>
          <w:rFonts w:hint="eastAsia"/>
          <w:iCs/>
          <w:szCs w:val="21"/>
        </w:rPr>
        <w:t>是广义坐标，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6251A">
        <w:rPr>
          <w:rFonts w:hint="eastAsia"/>
          <w:iCs/>
          <w:szCs w:val="21"/>
        </w:rPr>
        <w:t>是广义坐标对应的广义力。</w:t>
      </w:r>
      <w:r w:rsidR="002A4005">
        <w:rPr>
          <w:rFonts w:hint="eastAsia"/>
          <w:iCs/>
          <w:szCs w:val="21"/>
        </w:rPr>
        <w:t>将其</w:t>
      </w:r>
      <w:r w:rsidRPr="00E6251A">
        <w:rPr>
          <w:rFonts w:hint="eastAsia"/>
          <w:iCs/>
          <w:szCs w:val="21"/>
        </w:rPr>
        <w:t>表示成向量形式为：</w:t>
      </w:r>
    </w:p>
    <w:p w14:paraId="3C32ED81" w14:textId="04B2B655" w:rsidR="00445026" w:rsidRPr="00E6251A" w:rsidRDefault="00000000" w:rsidP="00445026">
      <w:pPr>
        <w:spacing w:line="360" w:lineRule="auto"/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eqArr>
        </m:oMath>
      </m:oMathPara>
    </w:p>
    <w:p w14:paraId="08CE5232" w14:textId="77777777" w:rsidR="00445026" w:rsidRPr="00E6251A" w:rsidRDefault="00445026" w:rsidP="00445026">
      <w:pPr>
        <w:rPr>
          <w:iCs/>
          <w:szCs w:val="21"/>
        </w:rPr>
      </w:pPr>
      <w:r w:rsidRPr="00E6251A">
        <w:rPr>
          <w:iCs/>
          <w:szCs w:val="21"/>
        </w:rPr>
        <w:tab/>
      </w:r>
      <w:r w:rsidRPr="00E6251A">
        <w:rPr>
          <w:rFonts w:hint="eastAsia"/>
          <w:iCs/>
          <w:szCs w:val="21"/>
        </w:rPr>
        <w:t>机器人系统的动能等于系统各个部件动能之和，即：</w:t>
      </w:r>
    </w:p>
    <w:p w14:paraId="6E3403F4" w14:textId="223746CC" w:rsidR="00445026" w:rsidRPr="00E6251A" w:rsidRDefault="00000000" w:rsidP="00445026">
      <w:pPr>
        <w:spacing w:line="360" w:lineRule="auto"/>
        <w:ind w:firstLine="420"/>
        <w:rPr>
          <w:iCs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T=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6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5C88A5E5" w14:textId="77777777" w:rsidR="00445026" w:rsidRPr="00E6251A" w:rsidRDefault="00445026" w:rsidP="00445026">
      <w:pPr>
        <w:rPr>
          <w:iCs/>
          <w:szCs w:val="21"/>
        </w:rPr>
      </w:pPr>
    </w:p>
    <w:p w14:paraId="01511E95" w14:textId="4DE51F60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=τ#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7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200EEC2F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整个系统的运动可以分为基座的位移和旋转以及机械臂的运动，因此动力学方程可以写成：</w:t>
      </w:r>
    </w:p>
    <w:p w14:paraId="77878770" w14:textId="73EADC8D" w:rsidR="00445026" w:rsidRPr="00E6251A" w:rsidRDefault="00000000" w:rsidP="001B0707">
      <w:pPr>
        <w:pStyle w:val="MTDisplayEquation"/>
        <w:spacing w:line="360" w:lineRule="auto"/>
        <w:rPr>
          <w:rFonts w:ascii="Times New Roman" w:eastAsia="微软雅黑" w:hAnsi="Times New Roman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ωb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ωm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mb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mω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  <w:szCs w:val="21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  <w:szCs w:val="2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cb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cω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cm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  <w:szCs w:val="2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rSpRule m:val="1"/>
                      <m:cG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1"/>
                          </w:rPr>
                          <m:t>F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b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1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B6EF675" w14:textId="77777777" w:rsidR="001B0707" w:rsidRPr="00E6251A" w:rsidRDefault="001B0707" w:rsidP="001B0707">
      <w:pPr>
        <w:rPr>
          <w:rFonts w:eastAsia="微软雅黑"/>
          <w:szCs w:val="21"/>
        </w:rPr>
      </w:pPr>
    </w:p>
    <w:p w14:paraId="2563BA27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当基座处于自由漂浮状态，即基座位移不受控，令</w:t>
      </w:r>
      <m:oMath>
        <m:r>
          <w:rPr>
            <w:rFonts w:ascii="Cambria Math" w:hAnsi="Cambria Math"/>
            <w:szCs w:val="21"/>
          </w:rPr>
          <m:t>F=0</m:t>
        </m:r>
      </m:oMath>
      <w:r w:rsidRPr="00E6251A">
        <w:rPr>
          <w:rFonts w:hint="eastAsia"/>
          <w:szCs w:val="21"/>
        </w:rPr>
        <w:t>，可以解出</w:t>
      </w:r>
    </w:p>
    <w:p w14:paraId="7DE93FF5" w14:textId="10DD5B8F" w:rsidR="00445026" w:rsidRPr="00E6251A" w:rsidRDefault="00445026" w:rsidP="00445026">
      <w:pPr>
        <w:pStyle w:val="MTDisplayEquation"/>
        <w:spacing w:line="360" w:lineRule="auto"/>
        <w:rPr>
          <w:szCs w:val="21"/>
        </w:rPr>
      </w:pPr>
      <w:r w:rsidRPr="00E6251A">
        <w:rPr>
          <w:szCs w:val="21"/>
        </w:rPr>
        <w:tab/>
      </w:r>
      <m:oMath>
        <m:eqArr>
          <m:eqArrPr>
            <m:maxDist m:val="1"/>
            <m:ctrlPr>
              <w:rPr>
                <w:rFonts w:ascii="Cambria Math" w:hAnsi="Cambria Math"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=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bSup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bω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1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bm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1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cb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</m:t>
            </m:r>
            <m:r>
              <m:rPr>
                <m:sty m:val="p"/>
              </m:rPr>
              <w:rPr>
                <w:rFonts w:ascii="Cambria Math"/>
                <w:szCs w:val="21"/>
              </w:rPr>
              <m:t>#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Cs w:val="2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1"/>
                  </w:rPr>
                  <m:t>9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end"/>
                </m:r>
              </m:e>
            </m:d>
          </m:e>
        </m:eqArr>
      </m:oMath>
    </w:p>
    <w:p w14:paraId="78479961" w14:textId="52917CBB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将其代入公式中，得到动力学方程：</w:t>
      </w:r>
    </w:p>
    <w:p w14:paraId="6DD41659" w14:textId="1A278BF3" w:rsidR="00445026" w:rsidRPr="00E6251A" w:rsidRDefault="00000000" w:rsidP="00445026">
      <w:pPr>
        <w:pStyle w:val="MTDisplayEquation"/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cωb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MS Gothic" w:hAnsi="Cambria Math" w:cs="MS Gothic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cmb</m:t>
                  </m:r>
                </m:sub>
              </m:sSub>
              <m:r>
                <w:rPr>
                  <w:rFonts w:asci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10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C6A34C3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其中：</w:t>
      </w:r>
    </w:p>
    <w:p w14:paraId="1177145B" w14:textId="35FD49A8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 xml:space="preserve">bω 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mω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bω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ωm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ωb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bm 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mb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bm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cωb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cω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cb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 xml:space="preserve"> 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cmb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ωb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1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cb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#(</m:t>
              </m:r>
              <m:r>
                <w:rPr>
                  <w:rFonts w:ascii="Cambria Math" w:eastAsia="Cambria Math" w:hAnsi="Cambria Math" w:cs="Cambria Math"/>
                  <w:i/>
                  <w:szCs w:val="21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 xml:space="preserve"> seq equation </m:t>
              </m:r>
              <m:r>
                <w:rPr>
                  <w:rFonts w:ascii="Cambria Math" w:eastAsia="Cambria Math" w:hAnsi="Cambria Math" w:cs="Cambria Math"/>
                  <w:i/>
                  <w:szCs w:val="21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noProof/>
                  <w:szCs w:val="21"/>
                </w:rPr>
                <m:t>11</m:t>
              </m:r>
              <m:r>
                <w:rPr>
                  <w:rFonts w:ascii="Cambria Math" w:eastAsia="Cambria Math" w:hAnsi="Cambria Math" w:cs="Cambria Math"/>
                  <w:i/>
                  <w:szCs w:val="21"/>
                </w:rPr>
                <w:fldChar w:fldCharType="end"/>
              </m:r>
              <m:r>
                <w:rPr>
                  <w:rFonts w:ascii="Cambria Math" w:eastAsia="Cambria Math" w:hAnsi="Cambria Math" w:cs="Cambria Math"/>
                  <w:szCs w:val="21"/>
                </w:rPr>
                <m:t>)</m:t>
              </m:r>
            </m:e>
          </m:eqArr>
        </m:oMath>
      </m:oMathPara>
    </w:p>
    <w:p w14:paraId="20548FBF" w14:textId="77777777" w:rsidR="00445026" w:rsidRPr="00E6251A" w:rsidRDefault="00445026" w:rsidP="00445026">
      <w:pPr>
        <w:ind w:firstLine="420"/>
        <w:rPr>
          <w:szCs w:val="21"/>
        </w:rPr>
      </w:pPr>
      <w:r w:rsidRPr="00E6251A">
        <w:rPr>
          <w:rFonts w:hint="eastAsia"/>
          <w:szCs w:val="21"/>
        </w:rPr>
        <w:t>基座控制方程设计成：</w:t>
      </w:r>
    </w:p>
    <w:p w14:paraId="671B5E10" w14:textId="75F94371" w:rsidR="00445026" w:rsidRPr="00E6251A" w:rsidRDefault="00000000" w:rsidP="00445026">
      <w:pPr>
        <w:pStyle w:val="MTDisplayEquation"/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cωb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bf</m:t>
                  </m:r>
                </m:sub>
              </m:sSub>
              <m:r>
                <w:rPr>
                  <w:rFonts w:asci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bc</m:t>
                  </m:r>
                </m:sub>
              </m:sSub>
              <m:r>
                <w:rPr>
                  <w:rFonts w:asci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12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1FF47730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bf</m:t>
            </m:r>
          </m:sub>
        </m:sSub>
      </m:oMath>
      <w:r w:rsidRPr="00E6251A">
        <w:rPr>
          <w:rFonts w:hint="eastAsia"/>
          <w:szCs w:val="21"/>
        </w:rPr>
        <w:t>是基座姿态控制力矩，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bc</m:t>
            </m:r>
          </m:sub>
        </m:sSub>
      </m:oMath>
      <w:r w:rsidRPr="00E6251A">
        <w:rPr>
          <w:rFonts w:hint="eastAsia"/>
          <w:szCs w:val="21"/>
        </w:rPr>
        <w:t>是机械臂对其补偿力矩。定义姿态角误差为：</w:t>
      </w:r>
    </w:p>
    <w:p w14:paraId="008D2B15" w14:textId="075B62DE" w:rsidR="00445026" w:rsidRPr="00E6251A" w:rsidRDefault="00445026" w:rsidP="00445026">
      <w:pPr>
        <w:pStyle w:val="MTDisplayEquation"/>
        <w:spacing w:line="360" w:lineRule="auto"/>
        <w:rPr>
          <w:szCs w:val="21"/>
        </w:rPr>
      </w:pPr>
      <w:r w:rsidRPr="00E6251A">
        <w:rPr>
          <w:szCs w:val="21"/>
        </w:rPr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w:rPr>
                <w:rFonts w:ascii="Cambria Math"/>
                <w:szCs w:val="21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</m:sSub>
            <m:r>
              <w:rPr>
                <w:rFonts w:asci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</m:s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  <m:sup>
                <m:r>
                  <w:rPr>
                    <w:rFonts w:ascii="Cambria Math"/>
                    <w:szCs w:val="21"/>
                  </w:rPr>
                  <m:t>d</m:t>
                </m:r>
              </m:sup>
            </m:sSubSup>
            <m:r>
              <w:rPr>
                <w:rFonts w:ascii="Cambria Math"/>
                <w:szCs w:val="21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Cs w:val="2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1"/>
                  </w:rPr>
                  <m:t>13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end"/>
                </m:r>
              </m:e>
            </m:d>
          </m:e>
        </m:eqArr>
      </m:oMath>
    </w:p>
    <w:p w14:paraId="42BA7269" w14:textId="77777777" w:rsidR="00445026" w:rsidRPr="00E6251A" w:rsidRDefault="00000000" w:rsidP="00445026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ϕ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  <m:sup>
            <m:r>
              <w:rPr>
                <w:rFonts w:ascii="Cambria Math" w:hAnsi="Cambria Math"/>
                <w:szCs w:val="21"/>
              </w:rPr>
              <m:t>d</m:t>
            </m:r>
          </m:sup>
        </m:sSubSup>
      </m:oMath>
      <w:r w:rsidR="00445026" w:rsidRPr="00E6251A">
        <w:rPr>
          <w:rFonts w:hint="eastAsia"/>
          <w:szCs w:val="21"/>
        </w:rPr>
        <w:t>是基座期望姿态角，因此姿态反馈控制力矩设计成：</w:t>
      </w:r>
    </w:p>
    <w:p w14:paraId="05C3FF50" w14:textId="2B8BD1D5" w:rsidR="00445026" w:rsidRPr="00E6251A" w:rsidRDefault="00445026" w:rsidP="00445026">
      <w:pPr>
        <w:pStyle w:val="MTDisplayEquation"/>
        <w:spacing w:line="360" w:lineRule="auto"/>
        <w:rPr>
          <w:szCs w:val="21"/>
        </w:rPr>
      </w:pPr>
      <w:r w:rsidRPr="00E6251A">
        <w:rPr>
          <w:szCs w:val="21"/>
        </w:rPr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bf</m:t>
                </m:r>
              </m:sub>
            </m:sSub>
            <m:r>
              <w:rPr>
                <w:rFonts w:asci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/>
                    <w:szCs w:val="21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̈"/>
                        <m:ctrlPr>
                          <w:rPr>
                            <w:rFonts w:ascii="Cambria Math" w:eastAsia="MS Gothic" w:hAnsi="Cambria Math" w:cs="MS Gothic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/>
                        <w:szCs w:val="21"/>
                      </w:rPr>
                      <m:t>d</m:t>
                    </m:r>
                  </m:sup>
                </m:sSubSup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pbf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dbf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Cs w:val="21"/>
                      </w:rPr>
                      <m:t>b</m:t>
                    </m:r>
                  </m:sub>
                </m:sSub>
              </m:e>
            </m:d>
            <m:r>
              <w:rPr>
                <w:rFonts w:ascii="Cambria Math"/>
                <w:szCs w:val="21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Cs w:val="2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1"/>
                  </w:rPr>
                  <m:t>14</m:t>
                </m:r>
                <m:r>
                  <w:rPr>
                    <w:rFonts w:ascii="Cambria Math" w:hAnsi="Cambria Math"/>
                    <w:i/>
                    <w:szCs w:val="21"/>
                  </w:rPr>
                  <w:fldChar w:fldCharType="end"/>
                </m:r>
              </m:e>
            </m:d>
          </m:e>
        </m:eqArr>
      </m:oMath>
    </w:p>
    <w:p w14:paraId="4B2664D9" w14:textId="77777777" w:rsidR="00445026" w:rsidRPr="00E6251A" w:rsidRDefault="00000000" w:rsidP="00445026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pbf</m:t>
            </m:r>
          </m:sub>
        </m:sSub>
      </m:oMath>
      <w:r w:rsidR="00445026" w:rsidRPr="00E6251A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dbf</m:t>
            </m:r>
          </m:sub>
        </m:sSub>
      </m:oMath>
      <w:r w:rsidR="00445026" w:rsidRPr="00E6251A">
        <w:rPr>
          <w:rFonts w:hint="eastAsia"/>
          <w:szCs w:val="21"/>
        </w:rPr>
        <w:t>分别是比例系数和微分系数。</w:t>
      </w:r>
    </w:p>
    <w:p w14:paraId="1AF7A8EF" w14:textId="77777777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  <w:r w:rsidRPr="00E6251A">
        <w:rPr>
          <w:rFonts w:hint="eastAsia"/>
          <w:szCs w:val="21"/>
        </w:rPr>
        <w:t>在基座运动过程中，会受到机械臂的运动对其姿态的影响，相当于改变了基座的角动量，因此，需要适当的对基座进行补偿，来消除机械臂的运动对其造成的影响。假设补偿力矩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bc</m:t>
            </m:r>
          </m:sub>
        </m:sSub>
      </m:oMath>
      <w:r w:rsidRPr="00E6251A">
        <w:rPr>
          <w:rFonts w:hint="eastAsia"/>
          <w:szCs w:val="21"/>
        </w:rPr>
        <w:t>对应的角动量为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Pr="00E6251A">
        <w:rPr>
          <w:rFonts w:hint="eastAsia"/>
          <w:szCs w:val="21"/>
        </w:rPr>
        <w:t>，则有：</w:t>
      </w:r>
    </w:p>
    <w:p w14:paraId="2A1892F8" w14:textId="73D117E2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15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0BCB0C23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基座的角动量误差为：</w:t>
      </w:r>
    </w:p>
    <w:p w14:paraId="079D5E9B" w14:textId="62BE1F2C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16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3B430327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  <m:sup>
            <m:r>
              <w:rPr>
                <w:rFonts w:ascii="Cambria Math" w:hAnsi="Cambria Math"/>
                <w:szCs w:val="21"/>
              </w:rPr>
              <m:t>d</m:t>
            </m:r>
          </m:sup>
        </m:sSubSup>
      </m:oMath>
      <w:r w:rsidRPr="00E6251A">
        <w:rPr>
          <w:rFonts w:hint="eastAsia"/>
          <w:szCs w:val="21"/>
        </w:rPr>
        <w:t>是期望补偿角动量，近似等于</w:t>
      </w:r>
    </w:p>
    <w:p w14:paraId="14DCB468" w14:textId="5BE09528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ωm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17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201A6F6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因此，机械臂对基座的补偿力矩设计成：</w:t>
      </w:r>
    </w:p>
    <w:p w14:paraId="446F1983" w14:textId="59EC1C96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pbc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ibc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18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5329106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K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pbc</m:t>
            </m:r>
          </m:sub>
        </m:sSub>
      </m:oMath>
      <w:r w:rsidRPr="00E6251A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K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ibc</m:t>
            </m:r>
          </m:sub>
        </m:sSub>
      </m:oMath>
      <w:r w:rsidRPr="00E6251A">
        <w:rPr>
          <w:rFonts w:hint="eastAsia"/>
          <w:szCs w:val="21"/>
        </w:rPr>
        <w:t>分别是比例系数和积分系数。</w:t>
      </w:r>
    </w:p>
    <w:p w14:paraId="2FF29C99" w14:textId="77777777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  <w:r w:rsidRPr="00E6251A">
        <w:rPr>
          <w:rFonts w:hint="eastAsia"/>
          <w:szCs w:val="21"/>
        </w:rPr>
        <w:t>机械臂的控制方程设计成：</w:t>
      </w:r>
    </w:p>
    <w:p w14:paraId="096E7885" w14:textId="07634CCD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cmb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19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6E123F1C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mf</m:t>
            </m:r>
          </m:sub>
        </m:sSub>
      </m:oMath>
      <w:r w:rsidRPr="00E6251A">
        <w:rPr>
          <w:rFonts w:hint="eastAsia"/>
          <w:szCs w:val="21"/>
        </w:rPr>
        <w:t>是机械臂反馈控制力矩，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mc</m:t>
            </m:r>
          </m:sub>
        </m:sSub>
      </m:oMath>
      <w:r w:rsidRPr="00E6251A">
        <w:rPr>
          <w:rFonts w:hint="eastAsia"/>
          <w:szCs w:val="21"/>
        </w:rPr>
        <w:t>是基座对机械臂的补偿力矩。定义关节角误差为：</w:t>
      </w:r>
    </w:p>
    <w:p w14:paraId="4D0C093C" w14:textId="3BA3EA2F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20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61CB2A92" w14:textId="77777777" w:rsidR="00445026" w:rsidRPr="00E6251A" w:rsidRDefault="00000000" w:rsidP="00445026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</w:rPr>
              <m:t>d</m:t>
            </m:r>
          </m:sup>
        </m:sSubSup>
      </m:oMath>
      <w:r w:rsidR="00445026" w:rsidRPr="00E6251A">
        <w:rPr>
          <w:rFonts w:hint="eastAsia"/>
          <w:szCs w:val="21"/>
        </w:rPr>
        <w:t>是机械臂期望关节角，因此反馈控制力矩设计成：</w:t>
      </w:r>
    </w:p>
    <w:p w14:paraId="4A2D12D5" w14:textId="50D66647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pmf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dmf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21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2E68BF68" w14:textId="7BABAE9B" w:rsidR="00445026" w:rsidRPr="00E6251A" w:rsidRDefault="00445026" w:rsidP="00445026">
      <w:pPr>
        <w:rPr>
          <w:szCs w:val="21"/>
        </w:rPr>
      </w:pPr>
      <w:r w:rsidRPr="00E6251A">
        <w:rPr>
          <w:szCs w:val="21"/>
        </w:rPr>
        <w:tab/>
      </w:r>
      <w:r w:rsidRPr="00E6251A">
        <w:rPr>
          <w:rFonts w:hint="eastAsia"/>
          <w:szCs w:val="21"/>
        </w:rPr>
        <w:t>同样，在机械臂的运动过程中，基座的运动也会对其造成影响，因此需要对机械</w:t>
      </w:r>
      <w:proofErr w:type="gramStart"/>
      <w:r w:rsidRPr="00E6251A">
        <w:rPr>
          <w:rFonts w:hint="eastAsia"/>
          <w:szCs w:val="21"/>
        </w:rPr>
        <w:t>臂运动</w:t>
      </w:r>
      <w:proofErr w:type="gramEnd"/>
      <w:r w:rsidRPr="00E6251A">
        <w:rPr>
          <w:rFonts w:hint="eastAsia"/>
          <w:szCs w:val="21"/>
        </w:rPr>
        <w:t>进行适当的力矩补偿，来消除基座对其影响，假设补偿力矩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mc</m:t>
            </m:r>
          </m:sub>
        </m:sSub>
      </m:oMath>
      <w:r w:rsidRPr="00E6251A">
        <w:rPr>
          <w:rFonts w:hint="eastAsia"/>
          <w:szCs w:val="21"/>
        </w:rPr>
        <w:t>的角动量为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Pr="00E6251A">
        <w:rPr>
          <w:rFonts w:hint="eastAsia"/>
          <w:szCs w:val="21"/>
        </w:rPr>
        <w:t>，则有：</w:t>
      </w:r>
    </w:p>
    <w:p w14:paraId="0383C882" w14:textId="4A753C4F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22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71AFE0E4" w14:textId="77777777" w:rsidR="00445026" w:rsidRPr="00E6251A" w:rsidRDefault="00445026" w:rsidP="00445026">
      <w:pPr>
        <w:rPr>
          <w:szCs w:val="21"/>
        </w:rPr>
      </w:pPr>
      <w:r w:rsidRPr="00E6251A">
        <w:rPr>
          <w:rFonts w:hint="eastAsia"/>
          <w:szCs w:val="21"/>
        </w:rPr>
        <w:t>机械臂角动量误差为：</w:t>
      </w:r>
    </w:p>
    <w:p w14:paraId="0353777A" w14:textId="645AEE43" w:rsidR="00445026" w:rsidRPr="00E6251A" w:rsidRDefault="00000000" w:rsidP="00445026">
      <w:pPr>
        <w:spacing w:line="360" w:lineRule="auto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23</m:t>
                  </m:r>
                  <m:r>
                    <w:rPr>
                      <w:rFonts w:ascii="Cambria Math" w:hAnsi="Cambria Math"/>
                      <w:i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341B457C" w14:textId="77777777" w:rsidR="00445026" w:rsidRPr="00E6251A" w:rsidRDefault="00000000" w:rsidP="00445026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</w:rPr>
              <m:t>d</m:t>
            </m:r>
          </m:sup>
        </m:sSubSup>
      </m:oMath>
      <w:r w:rsidR="00445026" w:rsidRPr="00E6251A">
        <w:rPr>
          <w:rFonts w:hint="eastAsia"/>
          <w:szCs w:val="21"/>
        </w:rPr>
        <w:t>是期望补偿角动量，近似等于：</w:t>
      </w:r>
    </w:p>
    <w:p w14:paraId="15456870" w14:textId="57828671" w:rsidR="00445026" w:rsidRPr="00E6251A" w:rsidRDefault="00000000" w:rsidP="00445026">
      <w:pPr>
        <w:spacing w:line="360" w:lineRule="auto"/>
        <w:rPr>
          <w:iCs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ωm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ϕ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24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22C4589F" w14:textId="77777777" w:rsidR="00445026" w:rsidRPr="00E6251A" w:rsidRDefault="00445026" w:rsidP="00445026">
      <w:pPr>
        <w:rPr>
          <w:iCs/>
          <w:szCs w:val="21"/>
        </w:rPr>
      </w:pPr>
      <w:r w:rsidRPr="00E6251A">
        <w:rPr>
          <w:rFonts w:hint="eastAsia"/>
          <w:iCs/>
          <w:szCs w:val="21"/>
        </w:rPr>
        <w:t>因此，基座对机械臂的补偿力矩设计成：</w:t>
      </w:r>
    </w:p>
    <w:p w14:paraId="61888D9F" w14:textId="6F44A18A" w:rsidR="00445026" w:rsidRPr="00E6251A" w:rsidRDefault="00000000" w:rsidP="00445026">
      <w:pPr>
        <w:spacing w:line="360" w:lineRule="auto"/>
        <w:rPr>
          <w:iCs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pmc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∫K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imc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25</m:t>
                  </m:r>
                  <m:r>
                    <w:rPr>
                      <w:rFonts w:ascii="Cambria Math" w:hAnsi="Cambria Math"/>
                      <w:i/>
                      <w:iCs/>
                      <w:szCs w:val="21"/>
                    </w:rPr>
                    <w:fldChar w:fldCharType="end"/>
                  </m:r>
                </m:e>
              </m:d>
            </m:e>
          </m:eqArr>
        </m:oMath>
      </m:oMathPara>
    </w:p>
    <w:p w14:paraId="0442E7C8" w14:textId="32E9B178" w:rsidR="00445026" w:rsidRPr="00E6251A" w:rsidRDefault="00000000" w:rsidP="00445026">
      <w:pPr>
        <w:rPr>
          <w:i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pmc</m:t>
            </m:r>
          </m:sub>
        </m:sSub>
      </m:oMath>
      <w:r w:rsidR="00445026" w:rsidRPr="00E6251A">
        <w:rPr>
          <w:rFonts w:hint="eastAsia"/>
          <w:iCs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imc</m:t>
            </m:r>
          </m:sub>
        </m:sSub>
      </m:oMath>
      <w:r w:rsidR="00445026" w:rsidRPr="00E6251A">
        <w:rPr>
          <w:rFonts w:hint="eastAsia"/>
          <w:iCs/>
          <w:szCs w:val="21"/>
        </w:rPr>
        <w:t>分别是比例系数和积分系数。</w:t>
      </w:r>
    </w:p>
    <w:p w14:paraId="15C286BA" w14:textId="77777777" w:rsidR="00445026" w:rsidRPr="00E6251A" w:rsidRDefault="00445026" w:rsidP="00445026">
      <w:pPr>
        <w:rPr>
          <w:szCs w:val="21"/>
        </w:rPr>
      </w:pPr>
    </w:p>
    <w:p w14:paraId="62B74158" w14:textId="77777777" w:rsidR="00445026" w:rsidRPr="00E6251A" w:rsidRDefault="00445026" w:rsidP="00445026">
      <w:pPr>
        <w:rPr>
          <w:szCs w:val="21"/>
        </w:rPr>
      </w:pPr>
    </w:p>
    <w:p w14:paraId="2B52BA84" w14:textId="77777777" w:rsidR="00445026" w:rsidRPr="00E6251A" w:rsidRDefault="00445026" w:rsidP="00445026">
      <w:pPr>
        <w:rPr>
          <w:szCs w:val="21"/>
        </w:rPr>
      </w:pPr>
    </w:p>
    <w:p w14:paraId="6C151182" w14:textId="77777777" w:rsidR="00A14C1C" w:rsidRPr="00E6251A" w:rsidRDefault="00A14C1C">
      <w:pPr>
        <w:rPr>
          <w:szCs w:val="21"/>
        </w:rPr>
      </w:pPr>
    </w:p>
    <w:sectPr w:rsidR="00A14C1C" w:rsidRPr="00E6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CE40" w14:textId="77777777" w:rsidR="000F7D6B" w:rsidRDefault="000F7D6B" w:rsidP="00E6251A">
      <w:r>
        <w:separator/>
      </w:r>
    </w:p>
  </w:endnote>
  <w:endnote w:type="continuationSeparator" w:id="0">
    <w:p w14:paraId="411023B8" w14:textId="77777777" w:rsidR="000F7D6B" w:rsidRDefault="000F7D6B" w:rsidP="00E6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B074" w14:textId="77777777" w:rsidR="000F7D6B" w:rsidRDefault="000F7D6B" w:rsidP="00E6251A">
      <w:r>
        <w:separator/>
      </w:r>
    </w:p>
  </w:footnote>
  <w:footnote w:type="continuationSeparator" w:id="0">
    <w:p w14:paraId="4474A311" w14:textId="77777777" w:rsidR="000F7D6B" w:rsidRDefault="000F7D6B" w:rsidP="00E6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26"/>
    <w:rsid w:val="00040704"/>
    <w:rsid w:val="000F7D6B"/>
    <w:rsid w:val="001B0707"/>
    <w:rsid w:val="002A4005"/>
    <w:rsid w:val="00315252"/>
    <w:rsid w:val="00445026"/>
    <w:rsid w:val="00A14C1C"/>
    <w:rsid w:val="00C44BD3"/>
    <w:rsid w:val="00D92295"/>
    <w:rsid w:val="00E40C3C"/>
    <w:rsid w:val="00E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02F4B"/>
  <w15:chartTrackingRefBased/>
  <w15:docId w15:val="{E9DB2F6A-94ED-4611-B066-C05D35D6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45026"/>
    <w:pPr>
      <w:tabs>
        <w:tab w:val="center" w:pos="4160"/>
        <w:tab w:val="right" w:pos="8300"/>
      </w:tabs>
    </w:pPr>
    <w:rPr>
      <w:rFonts w:asciiTheme="minorHAnsi" w:eastAsiaTheme="minorEastAsia" w:hAnsiTheme="minorHAnsi"/>
    </w:rPr>
  </w:style>
  <w:style w:type="character" w:customStyle="1" w:styleId="MTDisplayEquation0">
    <w:name w:val="MTDisplayEquation 字符"/>
    <w:basedOn w:val="a0"/>
    <w:link w:val="MTDisplayEquation"/>
    <w:rsid w:val="00445026"/>
    <w:rPr>
      <w:rFonts w:asciiTheme="minorHAnsi" w:eastAsiaTheme="minorEastAsia" w:hAnsiTheme="minorHAnsi"/>
      <w:sz w:val="21"/>
    </w:rPr>
  </w:style>
  <w:style w:type="character" w:styleId="a3">
    <w:name w:val="Placeholder Text"/>
    <w:basedOn w:val="a0"/>
    <w:uiPriority w:val="99"/>
    <w:semiHidden/>
    <w:rsid w:val="001B0707"/>
    <w:rPr>
      <w:color w:val="808080"/>
    </w:rPr>
  </w:style>
  <w:style w:type="paragraph" w:styleId="a4">
    <w:name w:val="header"/>
    <w:basedOn w:val="a"/>
    <w:link w:val="a5"/>
    <w:uiPriority w:val="99"/>
    <w:unhideWhenUsed/>
    <w:rsid w:val="00E6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5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450</Words>
  <Characters>2568</Characters>
  <Application>Microsoft Office Word</Application>
  <DocSecurity>0</DocSecurity>
  <Lines>21</Lines>
  <Paragraphs>6</Paragraphs>
  <ScaleCrop>false</ScaleCrop>
  <Company>中山大学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Xiangxiang</dc:creator>
  <cp:keywords/>
  <dc:description/>
  <cp:lastModifiedBy>Zou Xiangxiang</cp:lastModifiedBy>
  <cp:revision>10</cp:revision>
  <dcterms:created xsi:type="dcterms:W3CDTF">2023-02-05T06:46:00Z</dcterms:created>
  <dcterms:modified xsi:type="dcterms:W3CDTF">2023-02-06T12:23:00Z</dcterms:modified>
</cp:coreProperties>
</file>