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5BA4" w14:textId="6670EC55" w:rsidR="00112A1A" w:rsidRDefault="00647921" w:rsidP="00647921">
      <w:pPr>
        <w:pStyle w:val="Title"/>
        <w:jc w:val="both"/>
      </w:pPr>
      <w:r w:rsidRPr="00647921">
        <w:t xml:space="preserve">Analysis of Manchester's Urbanisation Process Based </w:t>
      </w:r>
      <w:r>
        <w:rPr>
          <w:rFonts w:asciiTheme="minorEastAsia" w:eastAsiaTheme="minorEastAsia" w:hAnsiTheme="minorEastAsia" w:hint="eastAsia"/>
          <w:lang w:eastAsia="zh-CN"/>
        </w:rPr>
        <w:t>o</w:t>
      </w:r>
      <w:r w:rsidRPr="00647921">
        <w:t xml:space="preserve">n </w:t>
      </w:r>
      <w:r>
        <w:t>t</w:t>
      </w:r>
      <w:r w:rsidRPr="00647921">
        <w:t>he Differential Urbanisation Model</w:t>
      </w:r>
    </w:p>
    <w:tbl>
      <w:tblPr>
        <w:tblStyle w:val="TableGrid"/>
        <w:tblW w:w="0" w:type="auto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957"/>
        <w:gridCol w:w="3531"/>
      </w:tblGrid>
      <w:tr w:rsidR="009A0D4C" w:rsidRPr="00E01521" w14:paraId="57641972" w14:textId="5080911F" w:rsidTr="00E01521">
        <w:trPr>
          <w:jc w:val="center"/>
        </w:trPr>
        <w:tc>
          <w:tcPr>
            <w:tcW w:w="4957" w:type="dxa"/>
          </w:tcPr>
          <w:p w14:paraId="75D71596" w14:textId="426A283B" w:rsidR="009A0D4C" w:rsidRPr="00E01521" w:rsidRDefault="009A0D4C" w:rsidP="00647921">
            <w:pPr>
              <w:spacing w:before="0" w:line="240" w:lineRule="auto"/>
              <w:jc w:val="both"/>
              <w:rPr>
                <w:rFonts w:ascii="Calibri" w:hAnsi="Calibri"/>
                <w:i/>
                <w:sz w:val="21"/>
              </w:rPr>
            </w:pPr>
            <w:r w:rsidRPr="00E01521">
              <w:rPr>
                <w:rFonts w:ascii="Calibri" w:hAnsi="Calibri"/>
                <w:i/>
                <w:sz w:val="21"/>
              </w:rPr>
              <w:t>Word Count</w:t>
            </w:r>
            <w:r w:rsidR="0043505F" w:rsidRPr="00E01521">
              <w:rPr>
                <w:rFonts w:ascii="Calibri" w:hAnsi="Calibri"/>
                <w:i/>
                <w:sz w:val="21"/>
              </w:rPr>
              <w:t xml:space="preserve"> (excluding list of references)</w:t>
            </w:r>
            <w:r w:rsidRPr="00E01521">
              <w:rPr>
                <w:rFonts w:ascii="Calibri" w:hAnsi="Calibri"/>
                <w:i/>
                <w:sz w:val="21"/>
              </w:rPr>
              <w:t>:</w:t>
            </w:r>
          </w:p>
        </w:tc>
        <w:tc>
          <w:tcPr>
            <w:tcW w:w="3531" w:type="dxa"/>
          </w:tcPr>
          <w:p w14:paraId="6F4C28A7" w14:textId="67BB8526" w:rsidR="009A0D4C" w:rsidRPr="00E01521" w:rsidRDefault="005A0554" w:rsidP="00647921">
            <w:pPr>
              <w:spacing w:before="0" w:line="240" w:lineRule="auto"/>
              <w:jc w:val="both"/>
              <w:rPr>
                <w:rFonts w:ascii="Calibri" w:hAnsi="Calibri"/>
                <w:i/>
                <w:sz w:val="21"/>
                <w:lang w:eastAsia="zh-CN"/>
              </w:rPr>
            </w:pPr>
            <w:r>
              <w:rPr>
                <w:rFonts w:ascii="Calibri" w:hAnsi="Calibri" w:hint="eastAsia"/>
                <w:i/>
                <w:sz w:val="21"/>
                <w:lang w:eastAsia="zh-CN"/>
              </w:rPr>
              <w:t>9</w:t>
            </w:r>
            <w:r>
              <w:rPr>
                <w:rFonts w:ascii="Calibri" w:hAnsi="Calibri"/>
                <w:i/>
                <w:sz w:val="21"/>
                <w:lang w:eastAsia="zh-CN"/>
              </w:rPr>
              <w:t>53</w:t>
            </w:r>
          </w:p>
        </w:tc>
      </w:tr>
    </w:tbl>
    <w:p w14:paraId="3E13E02B" w14:textId="77777777" w:rsidR="009A0D4C" w:rsidRDefault="009A0D4C" w:rsidP="00647921">
      <w:pPr>
        <w:jc w:val="both"/>
      </w:pPr>
    </w:p>
    <w:p w14:paraId="4D0518F3" w14:textId="77777777" w:rsidR="00647921" w:rsidRPr="00DD1646" w:rsidRDefault="00647921" w:rsidP="00DD1646">
      <w:pPr>
        <w:pStyle w:val="Heading1"/>
      </w:pPr>
      <w:r w:rsidRPr="00DD1646">
        <w:t>Introduction</w:t>
      </w:r>
    </w:p>
    <w:p w14:paraId="20899EE5" w14:textId="272ED7B2" w:rsidR="00647921" w:rsidRPr="00647921" w:rsidRDefault="00647921" w:rsidP="00647921">
      <w:pPr>
        <w:jc w:val="both"/>
      </w:pPr>
      <w:r w:rsidRPr="00647921">
        <w:t>The Differential Urbanisation Model (DU Model) determines the urbanisation process of a region through patterns of population migration, characterised by the temporal sequence of net population growth rates in primate, intermediate and small cities, dividing the urbanisation process into six stages</w:t>
      </w:r>
      <w:r w:rsidR="002A4A4A">
        <w:t xml:space="preserve"> </w:t>
      </w:r>
      <w:r w:rsidR="0035628F" w:rsidRPr="0035628F">
        <w:t xml:space="preserve">(Geyer and </w:t>
      </w:r>
      <w:proofErr w:type="spellStart"/>
      <w:r w:rsidR="0035628F" w:rsidRPr="0035628F">
        <w:t>Kontuly</w:t>
      </w:r>
      <w:proofErr w:type="spellEnd"/>
      <w:r w:rsidR="0035628F" w:rsidRPr="0035628F">
        <w:t>, 1993)</w:t>
      </w:r>
      <w:r w:rsidR="0035628F">
        <w:t xml:space="preserve">. </w:t>
      </w:r>
      <w:r w:rsidRPr="00647921">
        <w:t xml:space="preserve">Manchester, as </w:t>
      </w:r>
      <w:r w:rsidR="00872EB0">
        <w:t xml:space="preserve">the </w:t>
      </w:r>
      <w:r w:rsidRPr="00647921">
        <w:t xml:space="preserve">first industrialised </w:t>
      </w:r>
      <w:r w:rsidR="00872EB0">
        <w:t>city</w:t>
      </w:r>
      <w:r w:rsidRPr="00647921">
        <w:t xml:space="preserve"> in the world, went through a relatively complete urbanisation phase. The analysis of Manchester and its related areas based on the DU Model will allow for </w:t>
      </w:r>
      <w:r w:rsidR="002A007D">
        <w:t xml:space="preserve">a </w:t>
      </w:r>
      <w:r w:rsidRPr="00647921">
        <w:t>more accurate model test</w:t>
      </w:r>
      <w:r w:rsidR="009B3767">
        <w:t xml:space="preserve"> and</w:t>
      </w:r>
      <w:r w:rsidRPr="00647921">
        <w:t xml:space="preserve"> clarify Manchester's urbanisation process.</w:t>
      </w:r>
    </w:p>
    <w:p w14:paraId="31003A5F" w14:textId="0707F8DC" w:rsidR="00647921" w:rsidRPr="00DD1646" w:rsidRDefault="00647921" w:rsidP="00DD1646">
      <w:pPr>
        <w:pStyle w:val="Heading1"/>
      </w:pPr>
      <w:r w:rsidRPr="00647921">
        <w:t>Research Area</w:t>
      </w:r>
    </w:p>
    <w:p w14:paraId="6F6A3D4A" w14:textId="36195060" w:rsidR="00647921" w:rsidRDefault="00647921" w:rsidP="00647921">
      <w:pPr>
        <w:jc w:val="both"/>
      </w:pPr>
      <w:r w:rsidRPr="00647921">
        <w:t xml:space="preserve">Manchester is generally regarded as </w:t>
      </w:r>
      <w:r w:rsidR="00377956">
        <w:t>a</w:t>
      </w:r>
      <w:r w:rsidRPr="00647921">
        <w:t xml:space="preserve"> metropolitan area including </w:t>
      </w:r>
      <w:r w:rsidR="00872EB0">
        <w:t>severa</w:t>
      </w:r>
      <w:r w:rsidR="002A4A4A">
        <w:rPr>
          <w:rFonts w:hint="eastAsia"/>
          <w:lang w:eastAsia="zh-CN"/>
        </w:rPr>
        <w:t>l</w:t>
      </w:r>
      <w:r w:rsidRPr="00647921">
        <w:t xml:space="preserve"> boroughs, with </w:t>
      </w:r>
      <w:r w:rsidR="00B355CD">
        <w:rPr>
          <w:rFonts w:hint="eastAsia"/>
          <w:lang w:eastAsia="zh-CN"/>
        </w:rPr>
        <w:t>several</w:t>
      </w:r>
      <w:r w:rsidR="00B355CD">
        <w:t xml:space="preserve"> similar </w:t>
      </w:r>
      <w:r w:rsidR="00B355CD">
        <w:rPr>
          <w:rFonts w:hint="eastAsia"/>
          <w:lang w:eastAsia="zh-CN"/>
        </w:rPr>
        <w:t>but</w:t>
      </w:r>
      <w:r w:rsidR="00B355CD" w:rsidRPr="00B355CD">
        <w:t xml:space="preserve"> </w:t>
      </w:r>
      <w:r w:rsidR="00B355CD" w:rsidRPr="00647921">
        <w:t>different</w:t>
      </w:r>
      <w:r w:rsidRPr="00647921">
        <w:t xml:space="preserve"> definitions. For statistical consistency and research convenience, Greater Manchester is defined as the research are</w:t>
      </w:r>
      <w:r w:rsidR="00B355CD">
        <w:rPr>
          <w:rFonts w:hint="eastAsia"/>
          <w:lang w:eastAsia="zh-CN"/>
        </w:rPr>
        <w:t>a</w:t>
      </w:r>
      <w:r w:rsidRPr="00647921">
        <w:t xml:space="preserve">, it is a metropolitan county and combined authority </w:t>
      </w:r>
      <w:r w:rsidR="00872EB0">
        <w:t>area</w:t>
      </w:r>
      <w:r w:rsidRPr="00647921">
        <w:t>, with a population of 2.8 million in 2021</w:t>
      </w:r>
      <w:r w:rsidR="002A4A4A">
        <w:t xml:space="preserve"> </w:t>
      </w:r>
      <w:r w:rsidR="002A4A4A" w:rsidRPr="00C50C00">
        <w:t>(Authority, 2022)</w:t>
      </w:r>
      <w:r w:rsidRPr="00647921">
        <w:t>, making it the second most populous urban area in the U</w:t>
      </w:r>
      <w:r w:rsidRPr="00C50C00">
        <w:t>K</w:t>
      </w:r>
      <w:r w:rsidR="00C50C00" w:rsidRPr="00C50C00">
        <w:t xml:space="preserve"> </w:t>
      </w:r>
      <w:r w:rsidRPr="00647921">
        <w:t xml:space="preserve">and one of the primate cities in </w:t>
      </w:r>
      <w:proofErr w:type="gramStart"/>
      <w:r w:rsidRPr="00647921">
        <w:t>North West</w:t>
      </w:r>
      <w:proofErr w:type="gramEnd"/>
      <w:r w:rsidRPr="00647921">
        <w:t xml:space="preserve"> England.</w:t>
      </w:r>
    </w:p>
    <w:p w14:paraId="704339A4" w14:textId="767718AC" w:rsidR="00647921" w:rsidRPr="00DD1646" w:rsidRDefault="00647921" w:rsidP="00DD1646">
      <w:pPr>
        <w:pStyle w:val="Heading1"/>
      </w:pPr>
      <w:r w:rsidRPr="00DD1646">
        <w:t xml:space="preserve">The urbanisation </w:t>
      </w:r>
      <w:r w:rsidR="002A4A4A">
        <w:t>Stage Division</w:t>
      </w:r>
    </w:p>
    <w:p w14:paraId="2B652521" w14:textId="3E567C57" w:rsidR="00647921" w:rsidRPr="00367A01" w:rsidRDefault="00647921" w:rsidP="00367A01">
      <w:pPr>
        <w:pStyle w:val="Heading2"/>
      </w:pPr>
      <w:r w:rsidRPr="00647921">
        <w:t>I</w:t>
      </w:r>
      <w:r w:rsidR="00CD49A5">
        <w:t>.</w:t>
      </w:r>
      <w:r w:rsidRPr="00647921">
        <w:t xml:space="preserve"> Early Primate City Stage (17</w:t>
      </w:r>
      <w:r w:rsidR="00363898">
        <w:t>6</w:t>
      </w:r>
      <w:r w:rsidRPr="00647921">
        <w:t>0s-1800s)</w:t>
      </w:r>
    </w:p>
    <w:p w14:paraId="38873043" w14:textId="28C545FE" w:rsidR="00647921" w:rsidRDefault="00647921" w:rsidP="00647921">
      <w:pPr>
        <w:jc w:val="both"/>
      </w:pPr>
      <w:r w:rsidRPr="00647921">
        <w:t>Until</w:t>
      </w:r>
      <w:r w:rsidR="002A4A4A">
        <w:t xml:space="preserve"> the </w:t>
      </w:r>
      <w:r w:rsidRPr="00647921">
        <w:t>early 18th century, Manchester was a market town of around 10,000 people, with a textile industry as its mainsta</w:t>
      </w:r>
      <w:r w:rsidRPr="000B5827">
        <w:t xml:space="preserve">y </w:t>
      </w:r>
      <w:r w:rsidR="000B5827" w:rsidRPr="000B5827">
        <w:t>(Lambert, 20</w:t>
      </w:r>
      <w:r w:rsidR="000B5827" w:rsidRPr="005B7A41">
        <w:rPr>
          <w:color w:val="000000" w:themeColor="text1"/>
        </w:rPr>
        <w:t>21)</w:t>
      </w:r>
      <w:r w:rsidRPr="005B7A41">
        <w:rPr>
          <w:color w:val="000000" w:themeColor="text1"/>
        </w:rPr>
        <w:t xml:space="preserve">. From </w:t>
      </w:r>
      <w:r w:rsidR="0065742F">
        <w:rPr>
          <w:color w:val="000000" w:themeColor="text1"/>
        </w:rPr>
        <w:t xml:space="preserve">the </w:t>
      </w:r>
      <w:r w:rsidR="005B7A41" w:rsidRPr="005B7A41">
        <w:rPr>
          <w:color w:val="000000" w:themeColor="text1"/>
        </w:rPr>
        <w:t>1760s</w:t>
      </w:r>
      <w:r w:rsidRPr="005B7A41">
        <w:rPr>
          <w:color w:val="000000" w:themeColor="text1"/>
        </w:rPr>
        <w:t xml:space="preserve">, </w:t>
      </w:r>
      <w:r w:rsidR="009B3767" w:rsidRPr="005B7A41">
        <w:rPr>
          <w:color w:val="000000" w:themeColor="text1"/>
        </w:rPr>
        <w:t>benefits</w:t>
      </w:r>
      <w:r w:rsidRPr="00647921">
        <w:t xml:space="preserve"> to its easy access to rail and water transport</w:t>
      </w:r>
      <w:r w:rsidR="009B3767">
        <w:t xml:space="preserve"> and the </w:t>
      </w:r>
      <w:r w:rsidRPr="00647921">
        <w:t xml:space="preserve">proximity to material sources, Manchester </w:t>
      </w:r>
      <w:r w:rsidR="00830A45" w:rsidRPr="00830A45">
        <w:t>gradually became one of the textile manufacturing centres</w:t>
      </w:r>
      <w:r w:rsidR="00830A45" w:rsidRPr="00647921">
        <w:t xml:space="preserve"> </w:t>
      </w:r>
      <w:r w:rsidR="005B7A41">
        <w:t>during</w:t>
      </w:r>
      <w:r w:rsidR="00830A45" w:rsidRPr="00647921">
        <w:t xml:space="preserve"> the </w:t>
      </w:r>
      <w:r w:rsidR="00830A45">
        <w:t xml:space="preserve">Industrial </w:t>
      </w:r>
      <w:r w:rsidR="00830A45">
        <w:lastRenderedPageBreak/>
        <w:t>Revolu</w:t>
      </w:r>
      <w:r w:rsidR="00830A45" w:rsidRPr="00B9753F">
        <w:t xml:space="preserve">tion </w:t>
      </w:r>
      <w:r w:rsidR="00B9753F" w:rsidRPr="00B9753F">
        <w:t>(McNeil and Nevell, 2000)</w:t>
      </w:r>
      <w:r w:rsidRPr="00647921">
        <w:t xml:space="preserve">. The creation of factories created </w:t>
      </w:r>
      <w:r w:rsidR="006E2EF0">
        <w:t>massive</w:t>
      </w:r>
      <w:r w:rsidRPr="00647921">
        <w:t xml:space="preserve"> jobs and attracted </w:t>
      </w:r>
      <w:r w:rsidR="0065742F">
        <w:rPr>
          <w:rFonts w:hint="eastAsia"/>
          <w:lang w:eastAsia="zh-CN"/>
        </w:rPr>
        <w:t>lots</w:t>
      </w:r>
      <w:r w:rsidR="0065742F">
        <w:t xml:space="preserve"> </w:t>
      </w:r>
      <w:r w:rsidR="0065742F">
        <w:rPr>
          <w:rFonts w:hint="eastAsia"/>
          <w:lang w:eastAsia="zh-CN"/>
        </w:rPr>
        <w:t>of</w:t>
      </w:r>
      <w:r w:rsidRPr="00647921">
        <w:t xml:space="preserve"> people,</w:t>
      </w:r>
      <w:r w:rsidR="00363898">
        <w:t xml:space="preserve"> leading to the beginning of</w:t>
      </w:r>
      <w:r w:rsidRPr="00647921">
        <w:t xml:space="preserve"> urbanisation</w:t>
      </w:r>
      <w:r w:rsidR="00363898">
        <w:rPr>
          <w:lang w:eastAsia="zh-CN"/>
        </w:rPr>
        <w:t>.</w:t>
      </w:r>
      <w:r w:rsidRPr="00647921">
        <w:t xml:space="preserve"> During this </w:t>
      </w:r>
      <w:r w:rsidR="00613761" w:rsidRPr="00613761">
        <w:t>period</w:t>
      </w:r>
      <w:r w:rsidRPr="00647921">
        <w:t>, Manchester as a primate city began to attract the population of the surrounding intermediate sized cities and small cities.</w:t>
      </w:r>
    </w:p>
    <w:p w14:paraId="46365FD1" w14:textId="1C798544" w:rsidR="00647921" w:rsidRPr="00367A01" w:rsidRDefault="00647921" w:rsidP="00367A01">
      <w:pPr>
        <w:pStyle w:val="Heading2"/>
      </w:pPr>
      <w:r w:rsidRPr="00647921">
        <w:t>II</w:t>
      </w:r>
      <w:r w:rsidR="00CD49A5">
        <w:t>.</w:t>
      </w:r>
      <w:r w:rsidRPr="00647921">
        <w:t xml:space="preserve"> Intermediate Primate City Stage (1800s-1850s)</w:t>
      </w:r>
    </w:p>
    <w:p w14:paraId="625F33BC" w14:textId="06636B0B" w:rsidR="00647921" w:rsidRDefault="006E2EF0" w:rsidP="00647921">
      <w:pPr>
        <w:jc w:val="both"/>
      </w:pPr>
      <w:r>
        <w:t xml:space="preserve">With the </w:t>
      </w:r>
      <w:r w:rsidR="00830A45" w:rsidRPr="00830A45">
        <w:t xml:space="preserve">advancing </w:t>
      </w:r>
      <w:r w:rsidR="00830A45">
        <w:t>Industrial Revolution</w:t>
      </w:r>
      <w:r>
        <w:t xml:space="preserve"> around </w:t>
      </w:r>
      <w:r w:rsidR="0065742F">
        <w:t xml:space="preserve">the </w:t>
      </w:r>
      <w:r>
        <w:t>1800s</w:t>
      </w:r>
      <w:r w:rsidR="00647921" w:rsidRPr="00647921">
        <w:t xml:space="preserve">, Manchester rapidly became an important industrial city as the widespread use of Watt's steam engine in textile factories promoted the development of related </w:t>
      </w:r>
      <w:r w:rsidR="00363898">
        <w:t>industries</w:t>
      </w:r>
      <w:r w:rsidR="00830A45">
        <w:t xml:space="preserve">, </w:t>
      </w:r>
      <w:r w:rsidR="00363898">
        <w:t xml:space="preserve">and </w:t>
      </w:r>
      <w:r w:rsidR="00830A45">
        <w:t>massive factories were se</w:t>
      </w:r>
      <w:r w:rsidR="00830A45" w:rsidRPr="00215930">
        <w:t>t up</w:t>
      </w:r>
      <w:r w:rsidR="00647921" w:rsidRPr="00215930">
        <w:t xml:space="preserve"> </w:t>
      </w:r>
      <w:r w:rsidR="00215930" w:rsidRPr="00215930">
        <w:t>(Hall, 1998)</w:t>
      </w:r>
      <w:r w:rsidR="00647921" w:rsidRPr="00215930">
        <w:t xml:space="preserve">. </w:t>
      </w:r>
      <w:r>
        <w:t>Meanwhile</w:t>
      </w:r>
      <w:r w:rsidR="00647921" w:rsidRPr="00647921">
        <w:t xml:space="preserve">, </w:t>
      </w:r>
      <w:r>
        <w:t xml:space="preserve">with </w:t>
      </w:r>
      <w:r w:rsidR="00363898">
        <w:t xml:space="preserve">the </w:t>
      </w:r>
      <w:r w:rsidR="00830A45">
        <w:t>benefits</w:t>
      </w:r>
      <w:r w:rsidR="00647921" w:rsidRPr="00647921">
        <w:t xml:space="preserve"> </w:t>
      </w:r>
      <w:r w:rsidR="00363898">
        <w:t>of</w:t>
      </w:r>
      <w:r w:rsidR="00647921" w:rsidRPr="00647921">
        <w:t xml:space="preserve"> the advances in transport brought</w:t>
      </w:r>
      <w:r w:rsidR="005B7A41">
        <w:t xml:space="preserve"> </w:t>
      </w:r>
      <w:r w:rsidR="00647921" w:rsidRPr="00647921">
        <w:t xml:space="preserve">by the </w:t>
      </w:r>
      <w:r w:rsidR="00830A45">
        <w:t>Industrial Revolution</w:t>
      </w:r>
      <w:r w:rsidR="00647921" w:rsidRPr="00647921">
        <w:t xml:space="preserve">, </w:t>
      </w:r>
      <w:r w:rsidR="009B3767">
        <w:t>several</w:t>
      </w:r>
      <w:r w:rsidR="00647921" w:rsidRPr="00647921">
        <w:t xml:space="preserve"> intermediate sized cities along railways or canals such as Stockport</w:t>
      </w:r>
      <w:r>
        <w:t xml:space="preserve"> and</w:t>
      </w:r>
      <w:r w:rsidR="00647921" w:rsidRPr="00647921">
        <w:t xml:space="preserve"> Bolton began to develop with the rise of Man</w:t>
      </w:r>
      <w:r w:rsidR="00647921" w:rsidRPr="002B2B76">
        <w:t>chester</w:t>
      </w:r>
      <w:r w:rsidR="002B2B76" w:rsidRPr="002B2B76">
        <w:t xml:space="preserve"> (Gregory and Henneberg, 2010)</w:t>
      </w:r>
      <w:r w:rsidR="00647921" w:rsidRPr="00647921">
        <w:t xml:space="preserve">. During this period, </w:t>
      </w:r>
      <w:r w:rsidR="002D237F" w:rsidRPr="002D237F">
        <w:t xml:space="preserve">Manchester enters its fastest urbanising phase with </w:t>
      </w:r>
      <w:r w:rsidR="002D237F">
        <w:t>near-record</w:t>
      </w:r>
      <w:r w:rsidR="002D237F" w:rsidRPr="002D237F">
        <w:t xml:space="preserve"> population growth</w:t>
      </w:r>
      <w:r w:rsidR="00647921" w:rsidRPr="00647921">
        <w:t>, while th</w:t>
      </w:r>
      <w:r>
        <w:t>e</w:t>
      </w:r>
      <w:r w:rsidR="00647921" w:rsidRPr="00647921">
        <w:t xml:space="preserve"> rates of the surrounding intermediate sized cities turned from negative to positive, but there was a further outflow of population from the small cities.</w:t>
      </w:r>
    </w:p>
    <w:p w14:paraId="7E71D307" w14:textId="29D36979" w:rsidR="00647921" w:rsidRPr="00367A01" w:rsidRDefault="00647921" w:rsidP="00367A01">
      <w:pPr>
        <w:pStyle w:val="Heading2"/>
      </w:pPr>
      <w:r w:rsidRPr="00647921">
        <w:t>III</w:t>
      </w:r>
      <w:r w:rsidR="00CD49A5">
        <w:t>.</w:t>
      </w:r>
      <w:r w:rsidRPr="00647921">
        <w:t xml:space="preserve"> Advanced Primate City Stage (1850s-1900s)</w:t>
      </w:r>
    </w:p>
    <w:p w14:paraId="321CB852" w14:textId="1FD504B5" w:rsidR="00647921" w:rsidRDefault="0065742F" w:rsidP="00647921">
      <w:pPr>
        <w:jc w:val="both"/>
      </w:pPr>
      <w:r w:rsidRPr="0065742F">
        <w:t>Along with rapid development</w:t>
      </w:r>
      <w:r w:rsidR="00647921" w:rsidRPr="00647921">
        <w:t>, Manchester's industrialisation led to a deteriorating urban environment, and with the widespread influence of ideas such as the Garden City, the city's middle class began to migrate to</w:t>
      </w:r>
      <w:r w:rsidR="00613761">
        <w:t xml:space="preserve"> </w:t>
      </w:r>
      <w:r w:rsidR="00647921" w:rsidRPr="00647921">
        <w:t>suburbs and small cities</w:t>
      </w:r>
      <w:r w:rsidR="00647921" w:rsidRPr="00613761">
        <w:rPr>
          <w:color w:val="FF0000"/>
        </w:rPr>
        <w:t xml:space="preserve"> </w:t>
      </w:r>
      <w:r w:rsidR="00D67BAF" w:rsidRPr="00D67BAF">
        <w:rPr>
          <w:lang w:val="en-US"/>
        </w:rPr>
        <w:t>(Ward,</w:t>
      </w:r>
      <w:r w:rsidR="00D67BAF">
        <w:rPr>
          <w:lang w:val="en-US"/>
        </w:rPr>
        <w:t xml:space="preserve"> </w:t>
      </w:r>
      <w:r w:rsidR="00D67BAF" w:rsidRPr="00D67BAF">
        <w:rPr>
          <w:lang w:val="en-US"/>
        </w:rPr>
        <w:t>1992)</w:t>
      </w:r>
      <w:r w:rsidR="00647921" w:rsidRPr="00647921">
        <w:t xml:space="preserve">. </w:t>
      </w:r>
      <w:r w:rsidR="006E2EF0">
        <w:t>Meanwhile,</w:t>
      </w:r>
      <w:r w:rsidR="00647921" w:rsidRPr="00647921">
        <w:t xml:space="preserve"> the number of textile factories in Manchester peaked in the 1850s, before being surpassed by the intermediate sized cities of Bolton and Oldham</w:t>
      </w:r>
      <w:r w:rsidR="00AD0CEB" w:rsidRPr="00B9753F">
        <w:t xml:space="preserve"> (McNeil and Nevell, 2000)</w:t>
      </w:r>
      <w:r w:rsidR="00647921" w:rsidRPr="00647921">
        <w:t xml:space="preserve">. During this period, Manchester's net population growth rate peaked and then declined, while intermediate sized cities’ rate continued to rise, the small cities began to </w:t>
      </w:r>
      <w:r w:rsidR="009B3767">
        <w:t>develop with</w:t>
      </w:r>
      <w:r w:rsidR="00647921" w:rsidRPr="00647921">
        <w:t xml:space="preserve"> benefited from the </w:t>
      </w:r>
      <w:r w:rsidR="00613761">
        <w:t>better</w:t>
      </w:r>
      <w:r w:rsidR="00647921" w:rsidRPr="00647921">
        <w:t xml:space="preserve"> environment and the population outflow trend was reduced.</w:t>
      </w:r>
    </w:p>
    <w:p w14:paraId="621AE14C" w14:textId="505C4D5A" w:rsidR="00647921" w:rsidRPr="00367A01" w:rsidRDefault="00647921" w:rsidP="00367A01">
      <w:pPr>
        <w:pStyle w:val="Heading2"/>
      </w:pPr>
      <w:r w:rsidRPr="00647921">
        <w:t>IV</w:t>
      </w:r>
      <w:r w:rsidR="00CD49A5">
        <w:t>.</w:t>
      </w:r>
      <w:r w:rsidRPr="00647921">
        <w:t xml:space="preserve"> Early Intermediate City Stage (1900s-1950s)</w:t>
      </w:r>
    </w:p>
    <w:p w14:paraId="5BB0CB9D" w14:textId="246FFA73" w:rsidR="00613761" w:rsidRDefault="00613761" w:rsidP="00647921">
      <w:pPr>
        <w:jc w:val="both"/>
      </w:pPr>
      <w:r w:rsidRPr="00613761">
        <w:t xml:space="preserve">Around </w:t>
      </w:r>
      <w:r w:rsidR="00377956">
        <w:t xml:space="preserve">the </w:t>
      </w:r>
      <w:r w:rsidRPr="00613761">
        <w:t>1900</w:t>
      </w:r>
      <w:r w:rsidR="009D7A8D">
        <w:t>s</w:t>
      </w:r>
      <w:r w:rsidRPr="00613761">
        <w:t xml:space="preserve">, the urbanisation </w:t>
      </w:r>
      <w:r w:rsidR="009C646A" w:rsidRPr="00613761">
        <w:t>progress</w:t>
      </w:r>
      <w:r w:rsidRPr="00613761">
        <w:t xml:space="preserve"> in Britain reached 70-80% and </w:t>
      </w:r>
      <w:r w:rsidR="009C646A">
        <w:t>then</w:t>
      </w:r>
      <w:r w:rsidRPr="00613761">
        <w:t xml:space="preserve"> slowe</w:t>
      </w:r>
      <w:r w:rsidRPr="00367A01">
        <w:t xml:space="preserve">d down. </w:t>
      </w:r>
      <w:r w:rsidR="00367A01" w:rsidRPr="00367A01">
        <w:t xml:space="preserve">At a time when </w:t>
      </w:r>
      <w:r w:rsidR="0007620F">
        <w:t>Manchester’s</w:t>
      </w:r>
      <w:r w:rsidR="00367A01" w:rsidRPr="00367A01">
        <w:t xml:space="preserve"> traditional industries are in decline</w:t>
      </w:r>
      <w:r w:rsidRPr="00367A01">
        <w:t xml:space="preserve">, the Great Depression and World War II took a huge toll on </w:t>
      </w:r>
      <w:r w:rsidR="0007620F">
        <w:t>its</w:t>
      </w:r>
      <w:r w:rsidRPr="00367A01">
        <w:t xml:space="preserve"> industry and infrastructure. These factors caused a sig</w:t>
      </w:r>
      <w:r w:rsidRPr="00613761">
        <w:t xml:space="preserve">nificant drop in Manchester's population. </w:t>
      </w:r>
      <w:r w:rsidR="009D7A8D">
        <w:t>Meanwhile</w:t>
      </w:r>
      <w:r w:rsidRPr="00613761">
        <w:t xml:space="preserve">, the </w:t>
      </w:r>
      <w:r w:rsidR="005A0554" w:rsidRPr="00613761">
        <w:t>car</w:t>
      </w:r>
      <w:r w:rsidR="005A0554">
        <w:t xml:space="preserve">’s </w:t>
      </w:r>
      <w:r w:rsidRPr="00613761">
        <w:t>popularity and the development</w:t>
      </w:r>
      <w:r w:rsidR="009D7A8D">
        <w:t xml:space="preserve"> </w:t>
      </w:r>
      <w:r w:rsidRPr="00613761">
        <w:t>of the Satellite Town theory</w:t>
      </w:r>
      <w:r w:rsidR="005A0554">
        <w:t xml:space="preserve"> </w:t>
      </w:r>
      <w:r w:rsidRPr="00613761">
        <w:t xml:space="preserve">led to the construction of </w:t>
      </w:r>
      <w:r w:rsidR="009D7A8D" w:rsidRPr="00613761">
        <w:lastRenderedPageBreak/>
        <w:t>small cities</w:t>
      </w:r>
      <w:r w:rsidRPr="00613761">
        <w:t xml:space="preserve"> around Manchester, represented by Wythenshawe, </w:t>
      </w:r>
      <w:r w:rsidR="00377956">
        <w:t xml:space="preserve">the </w:t>
      </w:r>
      <w:r w:rsidRPr="00613761">
        <w:t>main function is suburban living</w:t>
      </w:r>
      <w:r w:rsidRPr="00613761">
        <w:rPr>
          <w:color w:val="FF0000"/>
        </w:rPr>
        <w:t xml:space="preserve"> </w:t>
      </w:r>
      <w:r w:rsidR="00D67BAF" w:rsidRPr="00D67BAF">
        <w:rPr>
          <w:lang w:val="en-US"/>
        </w:rPr>
        <w:t>(Ward,</w:t>
      </w:r>
      <w:r w:rsidR="00D67BAF">
        <w:rPr>
          <w:lang w:val="en-US"/>
        </w:rPr>
        <w:t xml:space="preserve"> </w:t>
      </w:r>
      <w:r w:rsidR="00D67BAF" w:rsidRPr="00D67BAF">
        <w:rPr>
          <w:lang w:val="en-US"/>
        </w:rPr>
        <w:t>1992)</w:t>
      </w:r>
      <w:r w:rsidRPr="00613761">
        <w:t xml:space="preserve">. </w:t>
      </w:r>
      <w:r>
        <w:t>During</w:t>
      </w:r>
      <w:r w:rsidRPr="00613761">
        <w:t xml:space="preserve"> this </w:t>
      </w:r>
      <w:r>
        <w:t>period</w:t>
      </w:r>
      <w:r w:rsidRPr="00613761">
        <w:t>, the net population growth rate of intermediate sized cities was the highes</w:t>
      </w:r>
      <w:r w:rsidR="009D7A8D">
        <w:t>t</w:t>
      </w:r>
      <w:r w:rsidRPr="00613761">
        <w:t xml:space="preserve"> while the rate of primate cities continued to decline and that of small cities increased rapidly, showing the characteristics of a polarisation reversa</w:t>
      </w:r>
      <w:r w:rsidR="009D7A8D">
        <w:t>l</w:t>
      </w:r>
      <w:r w:rsidRPr="00613761">
        <w:t>.</w:t>
      </w:r>
    </w:p>
    <w:p w14:paraId="2C7DBA12" w14:textId="0C6C1095" w:rsidR="00647921" w:rsidRDefault="00647921" w:rsidP="00367A01">
      <w:pPr>
        <w:pStyle w:val="Heading2"/>
        <w:rPr>
          <w:b w:val="0"/>
          <w:bCs w:val="0"/>
          <w:iCs w:val="0"/>
        </w:rPr>
      </w:pPr>
      <w:r w:rsidRPr="00647921">
        <w:t>V</w:t>
      </w:r>
      <w:r w:rsidR="00CD49A5">
        <w:t>.</w:t>
      </w:r>
      <w:r w:rsidRPr="00647921">
        <w:t xml:space="preserve"> Advanced Intermediate City Stage (1950s-1960s)</w:t>
      </w:r>
    </w:p>
    <w:p w14:paraId="72F61D98" w14:textId="7F62A976" w:rsidR="00647921" w:rsidRDefault="00647921" w:rsidP="00647921">
      <w:pPr>
        <w:jc w:val="both"/>
      </w:pPr>
      <w:r w:rsidRPr="00647921">
        <w:t xml:space="preserve">After World War II, Overspill estates were built on the </w:t>
      </w:r>
      <w:r w:rsidR="009D7A8D">
        <w:t>suburban</w:t>
      </w:r>
      <w:r w:rsidRPr="00647921">
        <w:t xml:space="preserve"> of large cities to solve the housing problem of overpop</w:t>
      </w:r>
      <w:r w:rsidRPr="00B638D7">
        <w:t xml:space="preserve">ulation in urban areas, and Hattersley and </w:t>
      </w:r>
      <w:proofErr w:type="spellStart"/>
      <w:r w:rsidRPr="00B638D7">
        <w:t>Gamesley</w:t>
      </w:r>
      <w:proofErr w:type="spellEnd"/>
      <w:r w:rsidRPr="00B638D7">
        <w:t xml:space="preserve"> on the </w:t>
      </w:r>
      <w:r w:rsidR="009D7A8D" w:rsidRPr="00B638D7">
        <w:t>suburban</w:t>
      </w:r>
      <w:r w:rsidRPr="00B638D7">
        <w:t xml:space="preserve"> of Manchester were created at this time </w:t>
      </w:r>
      <w:r w:rsidR="00B638D7" w:rsidRPr="00B638D7">
        <w:t>(Cullingworth, 2003)</w:t>
      </w:r>
      <w:r w:rsidRPr="00B638D7">
        <w:t xml:space="preserve">. </w:t>
      </w:r>
      <w:r w:rsidRPr="00647921">
        <w:t>The net population growth rate of the small cities overtook that of the primate cities around 1950, crossing the clean break from Stage IV to Stage V</w:t>
      </w:r>
      <w:r w:rsidR="00893778" w:rsidRPr="00893778">
        <w:t xml:space="preserve"> (Champion, 2003)</w:t>
      </w:r>
      <w:r w:rsidRPr="00647921">
        <w:t>.</w:t>
      </w:r>
    </w:p>
    <w:p w14:paraId="75BFBCC6" w14:textId="2502D872" w:rsidR="00647921" w:rsidRPr="00367A01" w:rsidRDefault="00647921" w:rsidP="00367A01">
      <w:pPr>
        <w:pStyle w:val="Heading2"/>
      </w:pPr>
      <w:r w:rsidRPr="00647921">
        <w:t>VI</w:t>
      </w:r>
      <w:r w:rsidR="00CD49A5">
        <w:t>.</w:t>
      </w:r>
      <w:r w:rsidRPr="00647921">
        <w:t xml:space="preserve"> Small City Stage (1960s-2000s)</w:t>
      </w:r>
    </w:p>
    <w:p w14:paraId="1560DFDF" w14:textId="76E7C12D" w:rsidR="00647921" w:rsidRDefault="00647921" w:rsidP="00647921">
      <w:pPr>
        <w:jc w:val="both"/>
      </w:pPr>
      <w:r w:rsidRPr="00647921">
        <w:t xml:space="preserve">Since the 1960s, Manchester's textile and shipping industries have succumbed to difficulties, the city's economic downturn led to job losses, and its </w:t>
      </w:r>
      <w:r w:rsidR="0065742F" w:rsidRPr="00647921">
        <w:t>centr</w:t>
      </w:r>
      <w:r w:rsidR="0065742F">
        <w:t>al</w:t>
      </w:r>
      <w:r w:rsidRPr="00647921">
        <w:t xml:space="preserve"> city has been limited by premature urbanisation to a 19</w:t>
      </w:r>
      <w:r w:rsidRPr="008B16AB">
        <w:rPr>
          <w:vertAlign w:val="superscript"/>
        </w:rPr>
        <w:t>th</w:t>
      </w:r>
      <w:r w:rsidR="008B16AB">
        <w:t>-</w:t>
      </w:r>
      <w:r w:rsidRPr="00647921">
        <w:t>century spatial structure filled with industrial a</w:t>
      </w:r>
      <w:r w:rsidRPr="00B638D7">
        <w:t>reas and old housing (</w:t>
      </w:r>
      <w:r w:rsidR="00B638D7" w:rsidRPr="00B638D7">
        <w:t>Rodgers,</w:t>
      </w:r>
      <w:r w:rsidRPr="00B638D7">
        <w:t xml:space="preserve"> </w:t>
      </w:r>
      <w:r w:rsidR="00F400AA">
        <w:t>2022</w:t>
      </w:r>
      <w:r w:rsidR="00B638D7" w:rsidRPr="00B638D7">
        <w:t>)</w:t>
      </w:r>
      <w:r w:rsidRPr="00B638D7">
        <w:t xml:space="preserve">. </w:t>
      </w:r>
      <w:r w:rsidR="00076DC4">
        <w:t>Therefore</w:t>
      </w:r>
      <w:r w:rsidRPr="00647921">
        <w:t xml:space="preserve">, Manchester experienced a massive outflow of </w:t>
      </w:r>
      <w:r w:rsidR="009B3767">
        <w:t xml:space="preserve">the </w:t>
      </w:r>
      <w:r w:rsidRPr="00647921">
        <w:t>population</w:t>
      </w:r>
      <w:r w:rsidR="00613761">
        <w:t>, and</w:t>
      </w:r>
      <w:r w:rsidRPr="00647921">
        <w:t xml:space="preserve"> into the </w:t>
      </w:r>
      <w:r w:rsidR="008B16AB">
        <w:t>counter-urbanisation</w:t>
      </w:r>
      <w:r w:rsidRPr="00647921">
        <w:t xml:space="preserve"> stage during this time. </w:t>
      </w:r>
      <w:r w:rsidR="009D7A8D">
        <w:t>Meanwhile</w:t>
      </w:r>
      <w:r w:rsidRPr="00647921">
        <w:t>,</w:t>
      </w:r>
      <w:r w:rsidR="00CD49A5">
        <w:t xml:space="preserve"> </w:t>
      </w:r>
      <w:r w:rsidRPr="00647921">
        <w:t>the construction of new towns</w:t>
      </w:r>
      <w:r w:rsidR="002008CE">
        <w:t xml:space="preserve"> </w:t>
      </w:r>
      <w:r w:rsidRPr="00647921">
        <w:t>such as Warrington around Manche</w:t>
      </w:r>
      <w:r w:rsidRPr="00A07D70">
        <w:t xml:space="preserve">ster </w:t>
      </w:r>
      <w:r w:rsidR="00A07D70" w:rsidRPr="00A07D70">
        <w:t>(Bull, 1967)</w:t>
      </w:r>
      <w:r w:rsidRPr="00A07D70">
        <w:t>,</w:t>
      </w:r>
      <w:r w:rsidRPr="00647921">
        <w:t xml:space="preserve"> not only exacerbated its population outflow, but also represented the small cities that dominated this stage.</w:t>
      </w:r>
    </w:p>
    <w:p w14:paraId="15AA98CF" w14:textId="77777777" w:rsidR="00647921" w:rsidRPr="00367A01" w:rsidRDefault="00647921" w:rsidP="00367A01">
      <w:pPr>
        <w:pStyle w:val="Heading2"/>
      </w:pPr>
      <w:r w:rsidRPr="00647921">
        <w:t>The Next Cycle (2000s-)</w:t>
      </w:r>
    </w:p>
    <w:p w14:paraId="242C6585" w14:textId="78249E05" w:rsidR="00377956" w:rsidRDefault="00647921" w:rsidP="00647921">
      <w:pPr>
        <w:jc w:val="both"/>
      </w:pPr>
      <w:r w:rsidRPr="00647921">
        <w:t>After the 1990s, following a long period of decline, Manchester embarked on a property-led urban regeneration strategy, with Manchester's central city experiencing extensive redevelopment and a shift in the dominant industry from industry to services, attracting an influx of people</w:t>
      </w:r>
      <w:r w:rsidRPr="00924042">
        <w:rPr>
          <w:color w:val="FF0000"/>
        </w:rPr>
        <w:t xml:space="preserve"> </w:t>
      </w:r>
      <w:r w:rsidR="00B638D7">
        <w:t>(Ortiz-Moya, 2015)</w:t>
      </w:r>
      <w:r w:rsidRPr="00647921">
        <w:t>. After the 2000s, Manchester's net population growth became positive</w:t>
      </w:r>
      <w:r w:rsidR="00924042">
        <w:t xml:space="preserve"> </w:t>
      </w:r>
      <w:r w:rsidRPr="00647921">
        <w:t>and concentrated again in the central city</w:t>
      </w:r>
      <w:r w:rsidRPr="002E70B3">
        <w:t xml:space="preserve"> (Figure </w:t>
      </w:r>
      <w:r w:rsidR="002E70B3" w:rsidRPr="002E70B3">
        <w:t>1,</w:t>
      </w:r>
      <w:r w:rsidR="00B542F2" w:rsidRPr="002E70B3">
        <w:t>2</w:t>
      </w:r>
      <w:r w:rsidRPr="002E70B3">
        <w:t>), e</w:t>
      </w:r>
      <w:r w:rsidRPr="00647921">
        <w:t>ntering the next cycle of urban development.</w:t>
      </w:r>
    </w:p>
    <w:p w14:paraId="1A08F88F" w14:textId="77777777" w:rsidR="00E17FAB" w:rsidRDefault="00E17FAB" w:rsidP="00E17FAB">
      <w:pPr>
        <w:jc w:val="both"/>
      </w:pPr>
      <w:r>
        <w:rPr>
          <w:noProof/>
        </w:rPr>
        <w:lastRenderedPageBreak/>
        <w:drawing>
          <wp:inline distT="0" distB="0" distL="0" distR="0" wp14:anchorId="244325F4" wp14:editId="579DCCAD">
            <wp:extent cx="5391150" cy="1881505"/>
            <wp:effectExtent l="19050" t="19050" r="19050" b="2349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815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4F3DF7" w14:textId="53CACECF" w:rsidR="00E17FAB" w:rsidRPr="00DD1646" w:rsidRDefault="00E17FAB" w:rsidP="00564D7B">
      <w:pPr>
        <w:spacing w:after="240"/>
        <w:jc w:val="both"/>
        <w:rPr>
          <w:i/>
          <w:iCs/>
          <w:sz w:val="22"/>
          <w:szCs w:val="21"/>
        </w:rPr>
      </w:pPr>
      <w:r w:rsidRPr="00DD1646">
        <w:rPr>
          <w:rFonts w:hint="eastAsia"/>
          <w:b/>
          <w:bCs/>
          <w:i/>
          <w:iCs/>
          <w:sz w:val="22"/>
          <w:szCs w:val="21"/>
        </w:rPr>
        <w:t>F</w:t>
      </w:r>
      <w:r w:rsidRPr="00DD1646">
        <w:rPr>
          <w:b/>
          <w:bCs/>
          <w:i/>
          <w:iCs/>
          <w:sz w:val="22"/>
          <w:szCs w:val="21"/>
        </w:rPr>
        <w:t>igure 1</w:t>
      </w:r>
      <w:r w:rsidRPr="00DD1646">
        <w:rPr>
          <w:i/>
          <w:iCs/>
          <w:sz w:val="22"/>
          <w:szCs w:val="21"/>
        </w:rPr>
        <w:t>. Greater</w:t>
      </w:r>
      <w:r w:rsidR="005A0554">
        <w:rPr>
          <w:i/>
          <w:iCs/>
          <w:sz w:val="22"/>
          <w:szCs w:val="21"/>
        </w:rPr>
        <w:t>-</w:t>
      </w:r>
      <w:r w:rsidRPr="00DD1646">
        <w:rPr>
          <w:i/>
          <w:iCs/>
          <w:sz w:val="22"/>
          <w:szCs w:val="21"/>
        </w:rPr>
        <w:t xml:space="preserve">Manchester Population Growth Rate Change, 1801-2021; Note: </w:t>
      </w:r>
      <w:r w:rsidR="00CD49A5">
        <w:rPr>
          <w:i/>
          <w:iCs/>
          <w:sz w:val="22"/>
          <w:szCs w:val="21"/>
        </w:rPr>
        <w:t>M</w:t>
      </w:r>
      <w:r w:rsidR="00CD49A5" w:rsidRPr="00DD1646">
        <w:rPr>
          <w:i/>
          <w:iCs/>
          <w:sz w:val="22"/>
          <w:szCs w:val="21"/>
        </w:rPr>
        <w:t xml:space="preserve">issing </w:t>
      </w:r>
      <w:r w:rsidRPr="00DD1646">
        <w:rPr>
          <w:i/>
          <w:iCs/>
          <w:sz w:val="22"/>
          <w:szCs w:val="21"/>
        </w:rPr>
        <w:t>data were interpolated using mean values</w:t>
      </w:r>
      <w:r w:rsidR="000C4184" w:rsidRPr="00DD1646">
        <w:rPr>
          <w:i/>
          <w:iCs/>
          <w:sz w:val="22"/>
          <w:szCs w:val="21"/>
        </w:rPr>
        <w:t xml:space="preserve"> (</w:t>
      </w:r>
      <w:r w:rsidR="00530E47" w:rsidRPr="00DD1646">
        <w:rPr>
          <w:i/>
          <w:iCs/>
          <w:sz w:val="22"/>
          <w:szCs w:val="21"/>
        </w:rPr>
        <w:t>GB Historical GIS / University of Portsmouth</w:t>
      </w:r>
      <w:r w:rsidR="000C4184" w:rsidRPr="00DD1646">
        <w:rPr>
          <w:i/>
          <w:iCs/>
          <w:sz w:val="22"/>
          <w:szCs w:val="21"/>
        </w:rPr>
        <w:t xml:space="preserve">, </w:t>
      </w:r>
      <w:r w:rsidR="00F400AA">
        <w:rPr>
          <w:i/>
          <w:iCs/>
          <w:sz w:val="22"/>
          <w:szCs w:val="21"/>
        </w:rPr>
        <w:t>2021</w:t>
      </w:r>
      <w:r w:rsidR="000C4184" w:rsidRPr="00DD1646">
        <w:rPr>
          <w:i/>
          <w:iCs/>
          <w:sz w:val="22"/>
          <w:szCs w:val="21"/>
        </w:rPr>
        <w:t>)</w:t>
      </w:r>
    </w:p>
    <w:p w14:paraId="77D47BAF" w14:textId="1357BE8A" w:rsidR="00564D7B" w:rsidRDefault="000C4184" w:rsidP="00647921">
      <w:pPr>
        <w:jc w:val="both"/>
      </w:pPr>
      <w:r>
        <w:rPr>
          <w:noProof/>
        </w:rPr>
        <w:drawing>
          <wp:inline distT="0" distB="0" distL="0" distR="0" wp14:anchorId="6E2A088B" wp14:editId="661DB4A5">
            <wp:extent cx="5388652" cy="2070099"/>
            <wp:effectExtent l="19050" t="19050" r="21590" b="260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52" cy="207009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19BF77" w14:textId="3A8FCE49" w:rsidR="00DD1646" w:rsidRPr="00DD1646" w:rsidRDefault="000C4184" w:rsidP="00530E47">
      <w:pPr>
        <w:spacing w:after="240"/>
        <w:jc w:val="both"/>
        <w:rPr>
          <w:i/>
          <w:iCs/>
          <w:sz w:val="22"/>
          <w:szCs w:val="21"/>
        </w:rPr>
      </w:pPr>
      <w:r w:rsidRPr="00DD1646">
        <w:rPr>
          <w:rFonts w:hint="eastAsia"/>
          <w:b/>
          <w:bCs/>
          <w:i/>
          <w:iCs/>
          <w:sz w:val="22"/>
          <w:szCs w:val="21"/>
        </w:rPr>
        <w:t>F</w:t>
      </w:r>
      <w:r w:rsidRPr="00DD1646">
        <w:rPr>
          <w:b/>
          <w:bCs/>
          <w:i/>
          <w:iCs/>
          <w:sz w:val="22"/>
          <w:szCs w:val="21"/>
        </w:rPr>
        <w:t>igure 2</w:t>
      </w:r>
      <w:r w:rsidRPr="00DD1646">
        <w:rPr>
          <w:i/>
          <w:iCs/>
          <w:sz w:val="22"/>
          <w:szCs w:val="21"/>
        </w:rPr>
        <w:t>. Greater</w:t>
      </w:r>
      <w:r w:rsidR="005A0554">
        <w:rPr>
          <w:i/>
          <w:iCs/>
          <w:sz w:val="22"/>
          <w:szCs w:val="21"/>
        </w:rPr>
        <w:t>-</w:t>
      </w:r>
      <w:r w:rsidRPr="00DD1646">
        <w:rPr>
          <w:i/>
          <w:iCs/>
          <w:sz w:val="22"/>
          <w:szCs w:val="21"/>
        </w:rPr>
        <w:t>Manchester Population Change</w:t>
      </w:r>
      <w:r w:rsidR="00530E47" w:rsidRPr="00DD1646">
        <w:rPr>
          <w:i/>
          <w:iCs/>
          <w:sz w:val="22"/>
          <w:szCs w:val="21"/>
        </w:rPr>
        <w:t xml:space="preserve"> Grid</w:t>
      </w:r>
      <w:r w:rsidRPr="00DD1646">
        <w:rPr>
          <w:i/>
          <w:iCs/>
          <w:sz w:val="22"/>
          <w:szCs w:val="21"/>
        </w:rPr>
        <w:t>, 1971-2011 (Lloyd et al., 2018)</w:t>
      </w:r>
    </w:p>
    <w:p w14:paraId="3034B220" w14:textId="328BDD1A" w:rsidR="00647921" w:rsidRPr="00DD1646" w:rsidRDefault="005B7A41" w:rsidP="00DD1646">
      <w:pPr>
        <w:pStyle w:val="Heading1"/>
      </w:pPr>
      <w:r>
        <w:t>Conclusion</w:t>
      </w:r>
    </w:p>
    <w:p w14:paraId="3C5FDA6B" w14:textId="29D8D5AA" w:rsidR="00647921" w:rsidRDefault="00647921" w:rsidP="00367A01">
      <w:pPr>
        <w:jc w:val="both"/>
      </w:pPr>
      <w:r w:rsidRPr="00647921">
        <w:t xml:space="preserve">In summary, the DU model is well validated for Manchester and its surrounding area, with each stage clearly divided and </w:t>
      </w:r>
      <w:r w:rsidR="008B16AB">
        <w:t>i</w:t>
      </w:r>
      <w:r w:rsidRPr="00647921">
        <w:t>n line with the law of urbanization development in the region.</w:t>
      </w:r>
      <w:r w:rsidRPr="00377956">
        <w:t xml:space="preserve"> </w:t>
      </w:r>
      <w:r w:rsidR="00076DC4">
        <w:t>T</w:t>
      </w:r>
      <w:r w:rsidRPr="00377956">
        <w:t>he model</w:t>
      </w:r>
      <w:r w:rsidR="00377956" w:rsidRPr="00367A01">
        <w:t xml:space="preserve"> may not match</w:t>
      </w:r>
      <w:r w:rsidRPr="00377956">
        <w:t xml:space="preserve"> perfectly </w:t>
      </w:r>
      <w:r w:rsidR="00076DC4">
        <w:t>during</w:t>
      </w:r>
      <w:r w:rsidRPr="00377956">
        <w:t xml:space="preserve"> </w:t>
      </w:r>
      <w:proofErr w:type="gramStart"/>
      <w:r w:rsidRPr="00377956">
        <w:t xml:space="preserve">particular </w:t>
      </w:r>
      <w:r w:rsidR="00377956" w:rsidRPr="00367A01">
        <w:t>period</w:t>
      </w:r>
      <w:r w:rsidRPr="00377956">
        <w:t>s</w:t>
      </w:r>
      <w:proofErr w:type="gramEnd"/>
      <w:r w:rsidRPr="00377956">
        <w:t xml:space="preserve"> such as war and recession, but this does not affect </w:t>
      </w:r>
      <w:r w:rsidR="008B16AB">
        <w:t xml:space="preserve">the </w:t>
      </w:r>
      <w:r w:rsidRPr="00377956">
        <w:t xml:space="preserve">overall </w:t>
      </w:r>
      <w:r w:rsidR="00076DC4">
        <w:t>interpretation</w:t>
      </w:r>
      <w:r w:rsidRPr="00377956">
        <w:t>.</w:t>
      </w:r>
      <w:r w:rsidRPr="00647921">
        <w:t xml:space="preserve"> For Manchester, the urban development process that began in the 17</w:t>
      </w:r>
      <w:r w:rsidR="008B16AB">
        <w:t>6</w:t>
      </w:r>
      <w:r w:rsidRPr="00647921">
        <w:t xml:space="preserve">0s can be divided into six stages, while </w:t>
      </w:r>
      <w:r w:rsidR="00377956" w:rsidRPr="00367A01">
        <w:t xml:space="preserve">from </w:t>
      </w:r>
      <w:r w:rsidRPr="00647921">
        <w:t>the 2000s, Manchester's urban development begins a new cycle.</w:t>
      </w:r>
    </w:p>
    <w:p w14:paraId="7E89A7EE" w14:textId="77777777" w:rsidR="00DE413B" w:rsidRPr="00367A01" w:rsidRDefault="00DE413B" w:rsidP="00367A01">
      <w:pPr>
        <w:jc w:val="both"/>
      </w:pPr>
    </w:p>
    <w:p w14:paraId="5E68EB44" w14:textId="499982A2" w:rsidR="000B4D6E" w:rsidRDefault="0027671F" w:rsidP="00367A01">
      <w:pPr>
        <w:pStyle w:val="Heading1"/>
      </w:pPr>
      <w:r>
        <w:lastRenderedPageBreak/>
        <w:t>References</w:t>
      </w:r>
    </w:p>
    <w:p w14:paraId="3D9712DF" w14:textId="2A999744" w:rsidR="0007620F" w:rsidRDefault="0007620F" w:rsidP="0007620F">
      <w:pPr>
        <w:tabs>
          <w:tab w:val="clear" w:pos="560"/>
          <w:tab w:val="left" w:pos="0"/>
        </w:tabs>
      </w:pPr>
      <w:r w:rsidRPr="00C50C00">
        <w:t xml:space="preserve">Authority, G.M.C. (2022) </w:t>
      </w:r>
      <w:r w:rsidRPr="000B5827">
        <w:rPr>
          <w:i/>
          <w:iCs/>
        </w:rPr>
        <w:t>Census 2021: First Results, Greater Manchester Combined Authority</w:t>
      </w:r>
      <w:r w:rsidRPr="00C50C00">
        <w:t xml:space="preserve">. Available at: </w:t>
      </w:r>
      <w:hyperlink r:id="rId10" w:history="1">
        <w:r w:rsidRPr="00135065">
          <w:rPr>
            <w:rStyle w:val="Hyperlink"/>
          </w:rPr>
          <w:t>https://www.greatermanchester-ca.gov.uk/what-we-do/research/research-demographics/census-2021-first-results/</w:t>
        </w:r>
      </w:hyperlink>
      <w:r>
        <w:t xml:space="preserve"> </w:t>
      </w:r>
      <w:r w:rsidRPr="00C50C00">
        <w:t>(Accessed: 7 November 2022).</w:t>
      </w:r>
    </w:p>
    <w:p w14:paraId="0A8C9023" w14:textId="66D612AB" w:rsidR="0007620F" w:rsidRDefault="0007620F" w:rsidP="0007620F">
      <w:pPr>
        <w:tabs>
          <w:tab w:val="clear" w:pos="560"/>
          <w:tab w:val="left" w:pos="0"/>
        </w:tabs>
      </w:pPr>
      <w:r w:rsidRPr="00A07D70">
        <w:t xml:space="preserve">Bull, D.A. (1967) ‘New Town and Town Expansion Schemes: Part I: An Assessment of Recent Government Planning Reports’, </w:t>
      </w:r>
      <w:r w:rsidRPr="00A07D70">
        <w:rPr>
          <w:i/>
          <w:iCs/>
        </w:rPr>
        <w:t>The Town Planning Review</w:t>
      </w:r>
      <w:r w:rsidRPr="00A07D70">
        <w:t>, 38(2), pp. 103–114.</w:t>
      </w:r>
    </w:p>
    <w:p w14:paraId="6F58866D" w14:textId="77777777" w:rsidR="0007620F" w:rsidRDefault="0007620F" w:rsidP="0007620F">
      <w:pPr>
        <w:tabs>
          <w:tab w:val="clear" w:pos="560"/>
          <w:tab w:val="left" w:pos="0"/>
        </w:tabs>
      </w:pPr>
      <w:r w:rsidRPr="00893778">
        <w:t xml:space="preserve">Champion, T. (2003) ‘Testing the differential urbanisation model in Great Britain, 1901–91’, </w:t>
      </w:r>
      <w:proofErr w:type="spellStart"/>
      <w:r w:rsidRPr="00893778">
        <w:rPr>
          <w:i/>
          <w:iCs/>
        </w:rPr>
        <w:t>Tijdschrift</w:t>
      </w:r>
      <w:proofErr w:type="spellEnd"/>
      <w:r w:rsidRPr="00893778">
        <w:rPr>
          <w:i/>
          <w:iCs/>
        </w:rPr>
        <w:t xml:space="preserve"> </w:t>
      </w:r>
      <w:proofErr w:type="spellStart"/>
      <w:r w:rsidRPr="00893778">
        <w:rPr>
          <w:i/>
          <w:iCs/>
        </w:rPr>
        <w:t>voor</w:t>
      </w:r>
      <w:proofErr w:type="spellEnd"/>
      <w:r w:rsidRPr="00893778">
        <w:rPr>
          <w:i/>
          <w:iCs/>
        </w:rPr>
        <w:t xml:space="preserve"> </w:t>
      </w:r>
      <w:proofErr w:type="spellStart"/>
      <w:r w:rsidRPr="00893778">
        <w:rPr>
          <w:i/>
          <w:iCs/>
        </w:rPr>
        <w:t>Economische</w:t>
      </w:r>
      <w:proofErr w:type="spellEnd"/>
      <w:r w:rsidRPr="00893778">
        <w:rPr>
          <w:i/>
          <w:iCs/>
        </w:rPr>
        <w:t xml:space="preserve"> </w:t>
      </w:r>
      <w:proofErr w:type="spellStart"/>
      <w:r w:rsidRPr="00893778">
        <w:rPr>
          <w:i/>
          <w:iCs/>
        </w:rPr>
        <w:t>en</w:t>
      </w:r>
      <w:proofErr w:type="spellEnd"/>
      <w:r w:rsidRPr="00893778">
        <w:rPr>
          <w:i/>
          <w:iCs/>
        </w:rPr>
        <w:t xml:space="preserve"> </w:t>
      </w:r>
      <w:proofErr w:type="spellStart"/>
      <w:r w:rsidRPr="00893778">
        <w:rPr>
          <w:i/>
          <w:iCs/>
        </w:rPr>
        <w:t>Sociale</w:t>
      </w:r>
      <w:proofErr w:type="spellEnd"/>
      <w:r w:rsidRPr="00893778">
        <w:rPr>
          <w:i/>
          <w:iCs/>
        </w:rPr>
        <w:t xml:space="preserve"> </w:t>
      </w:r>
      <w:proofErr w:type="spellStart"/>
      <w:r w:rsidRPr="00893778">
        <w:rPr>
          <w:i/>
          <w:iCs/>
        </w:rPr>
        <w:t>Geografie</w:t>
      </w:r>
      <w:proofErr w:type="spellEnd"/>
      <w:r w:rsidRPr="00893778">
        <w:t xml:space="preserve">, 94(1), pp. 11–22. Available at: </w:t>
      </w:r>
      <w:hyperlink r:id="rId11" w:history="1">
        <w:r w:rsidRPr="00135065">
          <w:rPr>
            <w:rStyle w:val="Hyperlink"/>
          </w:rPr>
          <w:t>https://doi.org/10.1111/1467-9663.00233</w:t>
        </w:r>
      </w:hyperlink>
      <w:r w:rsidRPr="00893778">
        <w:t>.</w:t>
      </w:r>
      <w:r>
        <w:br/>
      </w:r>
      <w:r w:rsidRPr="00893778">
        <w:t xml:space="preserve">Cullingworth, J.B. (2003) ‘Housing needs and planning policy: A restatement of the problems of housing need and “overspill” in England and Wales’, pp. 1–218. Available at: </w:t>
      </w:r>
      <w:hyperlink r:id="rId12" w:history="1">
        <w:r w:rsidRPr="00135065">
          <w:rPr>
            <w:rStyle w:val="Hyperlink"/>
          </w:rPr>
          <w:t>https://doi.org/10.4324/9780203001257</w:t>
        </w:r>
      </w:hyperlink>
      <w:r w:rsidRPr="00893778">
        <w:t>.</w:t>
      </w:r>
    </w:p>
    <w:p w14:paraId="34C5ADEE" w14:textId="77B15C8E" w:rsidR="0007620F" w:rsidRPr="0007620F" w:rsidRDefault="0007620F" w:rsidP="0007620F">
      <w:pPr>
        <w:tabs>
          <w:tab w:val="clear" w:pos="560"/>
          <w:tab w:val="left" w:pos="0"/>
        </w:tabs>
        <w:rPr>
          <w:lang w:val="en-US"/>
        </w:rPr>
      </w:pPr>
      <w:r w:rsidRPr="000C4184">
        <w:rPr>
          <w:lang w:val="en-US"/>
        </w:rPr>
        <w:t>GB Historical GIS / University of Portsmouth</w:t>
      </w:r>
      <w:r w:rsidRPr="000C4184">
        <w:rPr>
          <w:i/>
          <w:iCs/>
          <w:lang w:val="en-US"/>
        </w:rPr>
        <w:t xml:space="preserve">, Greater Manchester </w:t>
      </w:r>
      <w:proofErr w:type="spellStart"/>
      <w:r w:rsidRPr="000C4184">
        <w:rPr>
          <w:i/>
          <w:iCs/>
          <w:lang w:val="en-US"/>
        </w:rPr>
        <w:t>Met.C</w:t>
      </w:r>
      <w:proofErr w:type="spellEnd"/>
      <w:r w:rsidRPr="000C4184">
        <w:rPr>
          <w:i/>
          <w:iCs/>
          <w:lang w:val="en-US"/>
        </w:rPr>
        <w:t xml:space="preserve"> through time | Population Statistics | Total Population, A Vision of Britain through Time.</w:t>
      </w:r>
      <w:r w:rsidRPr="000C4184">
        <w:rPr>
          <w:lang w:val="en-US"/>
        </w:rPr>
        <w:t xml:space="preserve"> (</w:t>
      </w:r>
      <w:r w:rsidR="00F400AA">
        <w:rPr>
          <w:lang w:val="en-US"/>
        </w:rPr>
        <w:t>2021</w:t>
      </w:r>
      <w:r w:rsidRPr="000C4184">
        <w:rPr>
          <w:lang w:val="en-US"/>
        </w:rPr>
        <w:t xml:space="preserve">). Available at: </w:t>
      </w:r>
      <w:hyperlink r:id="rId13" w:history="1">
        <w:r w:rsidRPr="00135065">
          <w:rPr>
            <w:rStyle w:val="Hyperlink"/>
            <w:lang w:val="en-US"/>
          </w:rPr>
          <w:t>https://www.visionofbritain.org.uk/unit/10056925/cube/TOT_POP</w:t>
        </w:r>
      </w:hyperlink>
      <w:r>
        <w:rPr>
          <w:lang w:val="en-US"/>
        </w:rPr>
        <w:t xml:space="preserve"> </w:t>
      </w:r>
      <w:r w:rsidRPr="000C4184">
        <w:rPr>
          <w:lang w:val="en-US"/>
        </w:rPr>
        <w:t>(Accessed: 7 November 2022).</w:t>
      </w:r>
    </w:p>
    <w:p w14:paraId="056EEC89" w14:textId="26B9AA02" w:rsidR="000B4D6E" w:rsidRDefault="00FE32A0" w:rsidP="000B5827">
      <w:pPr>
        <w:tabs>
          <w:tab w:val="clear" w:pos="560"/>
          <w:tab w:val="left" w:pos="0"/>
        </w:tabs>
      </w:pPr>
      <w:r w:rsidRPr="00FE32A0">
        <w:t xml:space="preserve">Geyer, H.S. and </w:t>
      </w:r>
      <w:proofErr w:type="spellStart"/>
      <w:r w:rsidRPr="00FE32A0">
        <w:t>Kontuly</w:t>
      </w:r>
      <w:proofErr w:type="spellEnd"/>
      <w:r w:rsidRPr="00FE32A0">
        <w:t xml:space="preserve">, T. (1993) ‘A Theoretical Foundation for the Concept of Differential Urbanization’, </w:t>
      </w:r>
      <w:r w:rsidRPr="000B5827">
        <w:rPr>
          <w:i/>
          <w:iCs/>
        </w:rPr>
        <w:t>International Regional Science Review</w:t>
      </w:r>
      <w:r w:rsidRPr="00FE32A0">
        <w:t xml:space="preserve">, 15(2), pp. 157–177. Available at: </w:t>
      </w:r>
      <w:hyperlink r:id="rId14" w:history="1">
        <w:r w:rsidRPr="00135065">
          <w:rPr>
            <w:rStyle w:val="Hyperlink"/>
          </w:rPr>
          <w:t>https://doi.org/10.1177/016001769301500202</w:t>
        </w:r>
      </w:hyperlink>
      <w:r w:rsidRPr="00FE32A0">
        <w:t>.</w:t>
      </w:r>
    </w:p>
    <w:p w14:paraId="3BBBD649" w14:textId="4D00A1F8" w:rsidR="0007620F" w:rsidRPr="0007620F" w:rsidRDefault="0007620F" w:rsidP="000B5827">
      <w:pPr>
        <w:tabs>
          <w:tab w:val="clear" w:pos="560"/>
          <w:tab w:val="left" w:pos="0"/>
        </w:tabs>
        <w:rPr>
          <w:lang w:val="en-US"/>
        </w:rPr>
      </w:pPr>
      <w:r w:rsidRPr="002B2B76">
        <w:rPr>
          <w:lang w:val="en-US"/>
        </w:rPr>
        <w:t xml:space="preserve">Gregory, I.N. and Henneberg, J.M. (2010) ‘The Railways, Urbanization, and Local Demography in England and Wales, 1825–1911’, </w:t>
      </w:r>
      <w:r w:rsidRPr="002B2B76">
        <w:rPr>
          <w:i/>
          <w:iCs/>
          <w:lang w:val="en-US"/>
        </w:rPr>
        <w:t>Social Science History</w:t>
      </w:r>
      <w:r w:rsidRPr="002B2B76">
        <w:rPr>
          <w:lang w:val="en-US"/>
        </w:rPr>
        <w:t>, 34(2), pp. 199–228. Available at: https://doi.org/10.1017/S0145553200011214.</w:t>
      </w:r>
    </w:p>
    <w:p w14:paraId="248E5518" w14:textId="74C17BA4" w:rsidR="000B5827" w:rsidRDefault="000B5827" w:rsidP="000B5827">
      <w:pPr>
        <w:tabs>
          <w:tab w:val="clear" w:pos="560"/>
          <w:tab w:val="left" w:pos="0"/>
        </w:tabs>
      </w:pPr>
      <w:r w:rsidRPr="000B5827">
        <w:t>Lambert, T. (2021) ‘A History of Manchester’,</w:t>
      </w:r>
      <w:r w:rsidRPr="000B5827">
        <w:rPr>
          <w:i/>
          <w:iCs/>
        </w:rPr>
        <w:t xml:space="preserve"> Local Histories</w:t>
      </w:r>
      <w:r w:rsidRPr="000B5827">
        <w:t xml:space="preserve">, 14 March. Available at: </w:t>
      </w:r>
      <w:hyperlink r:id="rId15" w:history="1">
        <w:r w:rsidRPr="00135065">
          <w:rPr>
            <w:rStyle w:val="Hyperlink"/>
          </w:rPr>
          <w:t>https://localhistories.org/a-history-of-manchester/</w:t>
        </w:r>
      </w:hyperlink>
      <w:r>
        <w:t xml:space="preserve"> </w:t>
      </w:r>
      <w:r w:rsidRPr="000B5827">
        <w:t>(Accessed: 7 November 2022).</w:t>
      </w:r>
    </w:p>
    <w:p w14:paraId="3DB127BB" w14:textId="5E42111E" w:rsidR="0007620F" w:rsidRDefault="0007620F" w:rsidP="000B5827">
      <w:pPr>
        <w:tabs>
          <w:tab w:val="clear" w:pos="560"/>
          <w:tab w:val="left" w:pos="0"/>
        </w:tabs>
      </w:pPr>
      <w:r w:rsidRPr="00C50C00">
        <w:t>Lloyd, C.</w:t>
      </w:r>
      <w:r w:rsidRPr="000B5827">
        <w:rPr>
          <w:i/>
          <w:iCs/>
        </w:rPr>
        <w:t xml:space="preserve"> et al</w:t>
      </w:r>
      <w:r w:rsidRPr="00C50C00">
        <w:t>. (2018)</w:t>
      </w:r>
      <w:r w:rsidRPr="000B5827">
        <w:rPr>
          <w:i/>
          <w:iCs/>
        </w:rPr>
        <w:t xml:space="preserve"> </w:t>
      </w:r>
      <w:proofErr w:type="spellStart"/>
      <w:r w:rsidRPr="000B5827">
        <w:rPr>
          <w:i/>
          <w:iCs/>
        </w:rPr>
        <w:t>PopChange</w:t>
      </w:r>
      <w:proofErr w:type="spellEnd"/>
      <w:r w:rsidRPr="000B5827">
        <w:rPr>
          <w:i/>
          <w:iCs/>
        </w:rPr>
        <w:t xml:space="preserve"> population grids for Britain, 1971-2011</w:t>
      </w:r>
      <w:r w:rsidRPr="00C50C00">
        <w:t xml:space="preserve">. UK Data Archive. Available at: </w:t>
      </w:r>
      <w:hyperlink r:id="rId16" w:history="1">
        <w:r w:rsidRPr="00135065">
          <w:rPr>
            <w:rStyle w:val="Hyperlink"/>
          </w:rPr>
          <w:t>https://doi.org/10.5255/UKDA-SN-852498</w:t>
        </w:r>
      </w:hyperlink>
      <w:r w:rsidRPr="00C50C00">
        <w:t>.</w:t>
      </w:r>
    </w:p>
    <w:p w14:paraId="490CA334" w14:textId="55747D51" w:rsidR="00B9753F" w:rsidRDefault="00B9753F" w:rsidP="000B5827">
      <w:pPr>
        <w:tabs>
          <w:tab w:val="clear" w:pos="560"/>
          <w:tab w:val="left" w:pos="0"/>
        </w:tabs>
      </w:pPr>
      <w:r w:rsidRPr="00B9753F">
        <w:lastRenderedPageBreak/>
        <w:t xml:space="preserve">McNeil, R. and Nevell, M. (2000) </w:t>
      </w:r>
      <w:r w:rsidRPr="00B9753F">
        <w:rPr>
          <w:i/>
          <w:iCs/>
        </w:rPr>
        <w:t>A Guide to the Industrial Archaeology of Greater Manchester</w:t>
      </w:r>
      <w:r w:rsidRPr="00B9753F">
        <w:t>. Association for Industrial Archaeology.</w:t>
      </w:r>
    </w:p>
    <w:p w14:paraId="48CE2108" w14:textId="48F3668E" w:rsidR="00B638D7" w:rsidRDefault="00B638D7" w:rsidP="000B5827">
      <w:pPr>
        <w:tabs>
          <w:tab w:val="clear" w:pos="560"/>
          <w:tab w:val="left" w:pos="0"/>
        </w:tabs>
      </w:pPr>
      <w:r w:rsidRPr="00B638D7">
        <w:t xml:space="preserve">Ortiz-Moya, F. (2015) ‘Coping with shrinkage: Rebranding post-industrial Manchester’, </w:t>
      </w:r>
      <w:r w:rsidRPr="00B638D7">
        <w:rPr>
          <w:i/>
          <w:iCs/>
        </w:rPr>
        <w:t>Sustainable Cities and Society</w:t>
      </w:r>
      <w:r w:rsidRPr="00B638D7">
        <w:t xml:space="preserve">, 15, pp. 33–41. Available at: </w:t>
      </w:r>
      <w:hyperlink r:id="rId17" w:history="1">
        <w:r w:rsidRPr="00135065">
          <w:rPr>
            <w:rStyle w:val="Hyperlink"/>
          </w:rPr>
          <w:t>https://doi.org/10.1016/j.scs.2014.11.004</w:t>
        </w:r>
      </w:hyperlink>
      <w:r>
        <w:t>.</w:t>
      </w:r>
    </w:p>
    <w:p w14:paraId="3CB23832" w14:textId="77B31FF5" w:rsidR="00DE413B" w:rsidRDefault="00DE413B" w:rsidP="000B5827">
      <w:pPr>
        <w:tabs>
          <w:tab w:val="clear" w:pos="560"/>
          <w:tab w:val="left" w:pos="0"/>
        </w:tabs>
      </w:pPr>
      <w:r w:rsidRPr="00655FDC">
        <w:t xml:space="preserve">Peter Geoffrey Hall (1998) </w:t>
      </w:r>
      <w:r w:rsidRPr="00655FDC">
        <w:rPr>
          <w:i/>
          <w:iCs/>
        </w:rPr>
        <w:t>Cities in civilization</w:t>
      </w:r>
      <w:r w:rsidRPr="00655FDC">
        <w:t xml:space="preserve">. Weidenfeld &amp; Nicolson. Available at: </w:t>
      </w:r>
      <w:hyperlink r:id="rId18" w:history="1">
        <w:r w:rsidRPr="00135065">
          <w:rPr>
            <w:rStyle w:val="Hyperlink"/>
          </w:rPr>
          <w:t>http://archive.org/details/citiesinciviliza00hall</w:t>
        </w:r>
      </w:hyperlink>
      <w:r>
        <w:t xml:space="preserve"> </w:t>
      </w:r>
      <w:r w:rsidRPr="00655FDC">
        <w:t>(Accessed: 7 November 2022).</w:t>
      </w:r>
    </w:p>
    <w:p w14:paraId="487EFDAC" w14:textId="000F5BFE" w:rsidR="0007620F" w:rsidRDefault="0007620F" w:rsidP="000B5827">
      <w:pPr>
        <w:tabs>
          <w:tab w:val="clear" w:pos="560"/>
          <w:tab w:val="left" w:pos="0"/>
        </w:tabs>
      </w:pPr>
      <w:r w:rsidRPr="00B638D7">
        <w:t>Rodgers</w:t>
      </w:r>
      <w:r>
        <w:t>.</w:t>
      </w:r>
      <w:r w:rsidRPr="00B638D7">
        <w:t xml:space="preserve"> (</w:t>
      </w:r>
      <w:r w:rsidR="00F400AA">
        <w:t>2022</w:t>
      </w:r>
      <w:r w:rsidRPr="00B638D7">
        <w:t>)</w:t>
      </w:r>
      <w:r>
        <w:t>.</w:t>
      </w:r>
      <w:r w:rsidRPr="00B638D7">
        <w:rPr>
          <w:i/>
          <w:iCs/>
        </w:rPr>
        <w:t xml:space="preserve"> Manchester - Evolution of the modern city | Britannica</w:t>
      </w:r>
      <w:r w:rsidRPr="00B638D7">
        <w:t xml:space="preserve">. Available at: </w:t>
      </w:r>
      <w:hyperlink r:id="rId19" w:history="1">
        <w:r w:rsidRPr="00135065">
          <w:rPr>
            <w:rStyle w:val="Hyperlink"/>
          </w:rPr>
          <w:t>https://www.britannica.com/place/Manchester-England/Evolution-of-the-modern-city</w:t>
        </w:r>
      </w:hyperlink>
      <w:r>
        <w:t xml:space="preserve"> </w:t>
      </w:r>
      <w:r w:rsidRPr="00B638D7">
        <w:t>(Accessed: 7 November 2022).</w:t>
      </w:r>
    </w:p>
    <w:p w14:paraId="22137BE1" w14:textId="18C603C0" w:rsidR="00A07D70" w:rsidRDefault="00D67BAF" w:rsidP="000B5827">
      <w:pPr>
        <w:tabs>
          <w:tab w:val="clear" w:pos="560"/>
          <w:tab w:val="left" w:pos="0"/>
        </w:tabs>
        <w:rPr>
          <w:lang w:val="en-US"/>
        </w:rPr>
      </w:pPr>
      <w:r w:rsidRPr="00D67BAF">
        <w:rPr>
          <w:lang w:val="en-US"/>
        </w:rPr>
        <w:t xml:space="preserve">Ward, S. (1992). </w:t>
      </w:r>
      <w:r w:rsidRPr="00D67BAF">
        <w:rPr>
          <w:i/>
          <w:iCs/>
          <w:lang w:val="en-US"/>
        </w:rPr>
        <w:t xml:space="preserve">The Garden City: Past, </w:t>
      </w:r>
      <w:proofErr w:type="gramStart"/>
      <w:r w:rsidRPr="00D67BAF">
        <w:rPr>
          <w:i/>
          <w:iCs/>
          <w:lang w:val="en-US"/>
        </w:rPr>
        <w:t>present</w:t>
      </w:r>
      <w:proofErr w:type="gramEnd"/>
      <w:r w:rsidRPr="00D67BAF">
        <w:rPr>
          <w:i/>
          <w:iCs/>
          <w:lang w:val="en-US"/>
        </w:rPr>
        <w:t xml:space="preserve"> and future (1st ed.)</w:t>
      </w:r>
      <w:r w:rsidRPr="00D67BAF">
        <w:rPr>
          <w:lang w:val="en-US"/>
        </w:rPr>
        <w:t xml:space="preserve">. Routledge. </w:t>
      </w:r>
      <w:hyperlink r:id="rId20" w:history="1">
        <w:r w:rsidRPr="00135065">
          <w:rPr>
            <w:rStyle w:val="Hyperlink"/>
            <w:lang w:val="en-US"/>
          </w:rPr>
          <w:t>https://doi.org/10.4324/9780203973615</w:t>
        </w:r>
      </w:hyperlink>
      <w:r>
        <w:rPr>
          <w:lang w:val="en-US"/>
        </w:rPr>
        <w:t>.</w:t>
      </w:r>
    </w:p>
    <w:sectPr w:rsidR="00A07D70" w:rsidSect="00E70378">
      <w:footerReference w:type="even" r:id="rId21"/>
      <w:footerReference w:type="default" r:id="rId22"/>
      <w:pgSz w:w="11900" w:h="16840"/>
      <w:pgMar w:top="1701" w:right="1701" w:bottom="1701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3C66D" w14:textId="77777777" w:rsidR="00FA00F0" w:rsidRDefault="00FA00F0" w:rsidP="001C5441">
      <w:r>
        <w:separator/>
      </w:r>
    </w:p>
  </w:endnote>
  <w:endnote w:type="continuationSeparator" w:id="0">
    <w:p w14:paraId="0E60890E" w14:textId="77777777" w:rsidR="00FA00F0" w:rsidRDefault="00FA00F0" w:rsidP="001C5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AA8C7" w14:textId="77777777" w:rsidR="00B01E0F" w:rsidRDefault="00B01E0F" w:rsidP="0060059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5A2317" w14:textId="77777777" w:rsidR="00B01E0F" w:rsidRDefault="00B01E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9D554" w14:textId="77777777" w:rsidR="00B01E0F" w:rsidRDefault="00B01E0F" w:rsidP="0060059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6A0D">
      <w:rPr>
        <w:rStyle w:val="PageNumber"/>
        <w:noProof/>
      </w:rPr>
      <w:t>1</w:t>
    </w:r>
    <w:r>
      <w:rPr>
        <w:rStyle w:val="PageNumber"/>
      </w:rPr>
      <w:fldChar w:fldCharType="end"/>
    </w:r>
  </w:p>
  <w:p w14:paraId="30E71D65" w14:textId="0CA99875" w:rsidR="00F667B1" w:rsidRDefault="00F667B1" w:rsidP="00440A75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30BC4" w14:textId="77777777" w:rsidR="00FA00F0" w:rsidRDefault="00FA00F0" w:rsidP="001C5441">
      <w:r>
        <w:separator/>
      </w:r>
    </w:p>
  </w:footnote>
  <w:footnote w:type="continuationSeparator" w:id="0">
    <w:p w14:paraId="688D9073" w14:textId="77777777" w:rsidR="00FA00F0" w:rsidRDefault="00FA00F0" w:rsidP="001C5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ECAAE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416EA32C">
      <w:start w:val="1"/>
      <w:numFmt w:val="bullet"/>
      <w:lvlText w:val="⁃"/>
      <w:lvlJc w:val="left"/>
      <w:pPr>
        <w:ind w:left="720" w:hanging="360"/>
      </w:pPr>
    </w:lvl>
    <w:lvl w:ilvl="1" w:tplc="37982B08">
      <w:start w:val="1"/>
      <w:numFmt w:val="decimal"/>
      <w:lvlText w:val=""/>
      <w:lvlJc w:val="left"/>
    </w:lvl>
    <w:lvl w:ilvl="2" w:tplc="4468BEAC">
      <w:start w:val="1"/>
      <w:numFmt w:val="decimal"/>
      <w:lvlText w:val=""/>
      <w:lvlJc w:val="left"/>
    </w:lvl>
    <w:lvl w:ilvl="3" w:tplc="5B3C6CA6">
      <w:start w:val="1"/>
      <w:numFmt w:val="decimal"/>
      <w:lvlText w:val=""/>
      <w:lvlJc w:val="left"/>
    </w:lvl>
    <w:lvl w:ilvl="4" w:tplc="ACE8DE8E">
      <w:start w:val="1"/>
      <w:numFmt w:val="decimal"/>
      <w:lvlText w:val=""/>
      <w:lvlJc w:val="left"/>
    </w:lvl>
    <w:lvl w:ilvl="5" w:tplc="940C0C8E">
      <w:start w:val="1"/>
      <w:numFmt w:val="decimal"/>
      <w:lvlText w:val=""/>
      <w:lvlJc w:val="left"/>
    </w:lvl>
    <w:lvl w:ilvl="6" w:tplc="0B46F510">
      <w:start w:val="1"/>
      <w:numFmt w:val="decimal"/>
      <w:lvlText w:val=""/>
      <w:lvlJc w:val="left"/>
    </w:lvl>
    <w:lvl w:ilvl="7" w:tplc="2AC06B94">
      <w:start w:val="1"/>
      <w:numFmt w:val="decimal"/>
      <w:lvlText w:val=""/>
      <w:lvlJc w:val="left"/>
    </w:lvl>
    <w:lvl w:ilvl="8" w:tplc="6A50FFF2">
      <w:start w:val="1"/>
      <w:numFmt w:val="decimal"/>
      <w:lvlText w:val=""/>
      <w:lvlJc w:val="left"/>
    </w:lvl>
  </w:abstractNum>
  <w:abstractNum w:abstractNumId="2" w15:restartNumberingAfterBreak="0">
    <w:nsid w:val="00945626"/>
    <w:multiLevelType w:val="hybridMultilevel"/>
    <w:tmpl w:val="8C16C7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A445B"/>
    <w:multiLevelType w:val="hybridMultilevel"/>
    <w:tmpl w:val="505A04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D06ECF"/>
    <w:multiLevelType w:val="hybridMultilevel"/>
    <w:tmpl w:val="8CB2147E"/>
    <w:lvl w:ilvl="0" w:tplc="0809000F">
      <w:start w:val="1"/>
      <w:numFmt w:val="decimal"/>
      <w:lvlText w:val="%1.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10222337"/>
    <w:multiLevelType w:val="hybridMultilevel"/>
    <w:tmpl w:val="38B4B1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612CF"/>
    <w:multiLevelType w:val="hybridMultilevel"/>
    <w:tmpl w:val="64FA4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359C6"/>
    <w:multiLevelType w:val="hybridMultilevel"/>
    <w:tmpl w:val="823E0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B344E"/>
    <w:multiLevelType w:val="hybridMultilevel"/>
    <w:tmpl w:val="C62C2A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21D77"/>
    <w:multiLevelType w:val="hybridMultilevel"/>
    <w:tmpl w:val="18969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72265"/>
    <w:multiLevelType w:val="hybridMultilevel"/>
    <w:tmpl w:val="85A0C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953BF"/>
    <w:multiLevelType w:val="hybridMultilevel"/>
    <w:tmpl w:val="D0F26DA2"/>
    <w:lvl w:ilvl="0" w:tplc="3C96AAFA">
      <w:start w:val="2"/>
      <w:numFmt w:val="bullet"/>
      <w:lvlText w:val=""/>
      <w:lvlJc w:val="left"/>
      <w:pPr>
        <w:ind w:left="427" w:hanging="360"/>
      </w:pPr>
      <w:rPr>
        <w:rFonts w:ascii="Symbol" w:eastAsia="TimesNewRomanPSMT" w:hAnsi="Symbol" w:cs="TimesNewRomanPSMT" w:hint="default"/>
      </w:rPr>
    </w:lvl>
    <w:lvl w:ilvl="1" w:tplc="08090003" w:tentative="1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</w:abstractNum>
  <w:abstractNum w:abstractNumId="12" w15:restartNumberingAfterBreak="0">
    <w:nsid w:val="298B006A"/>
    <w:multiLevelType w:val="hybridMultilevel"/>
    <w:tmpl w:val="41F6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B59BE"/>
    <w:multiLevelType w:val="hybridMultilevel"/>
    <w:tmpl w:val="51CA3C6E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 w15:restartNumberingAfterBreak="0">
    <w:nsid w:val="30877516"/>
    <w:multiLevelType w:val="hybridMultilevel"/>
    <w:tmpl w:val="BD68C2DC"/>
    <w:lvl w:ilvl="0" w:tplc="08090001">
      <w:start w:val="6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60487"/>
    <w:multiLevelType w:val="hybridMultilevel"/>
    <w:tmpl w:val="3560F122"/>
    <w:lvl w:ilvl="0" w:tplc="56F20E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A46E6"/>
    <w:multiLevelType w:val="hybridMultilevel"/>
    <w:tmpl w:val="18969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F3117"/>
    <w:multiLevelType w:val="hybridMultilevel"/>
    <w:tmpl w:val="E23CC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536BB"/>
    <w:multiLevelType w:val="hybridMultilevel"/>
    <w:tmpl w:val="D9C02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733769"/>
    <w:multiLevelType w:val="hybridMultilevel"/>
    <w:tmpl w:val="3A3C91B6"/>
    <w:lvl w:ilvl="0" w:tplc="D2FE064E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3EF05124"/>
    <w:multiLevelType w:val="hybridMultilevel"/>
    <w:tmpl w:val="47B2DA0A"/>
    <w:lvl w:ilvl="0" w:tplc="0809000F">
      <w:start w:val="1"/>
      <w:numFmt w:val="decimal"/>
      <w:lvlText w:val="%1.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1" w15:restartNumberingAfterBreak="0">
    <w:nsid w:val="409E39A5"/>
    <w:multiLevelType w:val="hybridMultilevel"/>
    <w:tmpl w:val="76AC2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040AB"/>
    <w:multiLevelType w:val="hybridMultilevel"/>
    <w:tmpl w:val="21E228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E0D6B"/>
    <w:multiLevelType w:val="hybridMultilevel"/>
    <w:tmpl w:val="A832F876"/>
    <w:lvl w:ilvl="0" w:tplc="F2589F7A">
      <w:start w:val="4"/>
      <w:numFmt w:val="bullet"/>
      <w:lvlText w:val="-"/>
      <w:lvlJc w:val="left"/>
      <w:pPr>
        <w:ind w:left="720" w:hanging="360"/>
      </w:pPr>
      <w:rPr>
        <w:rFonts w:ascii="Times New Roman" w:eastAsia="TimesNewRomanPSMT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351024"/>
    <w:multiLevelType w:val="hybridMultilevel"/>
    <w:tmpl w:val="9904B6C8"/>
    <w:lvl w:ilvl="0" w:tplc="9D6A7D7E">
      <w:start w:val="1"/>
      <w:numFmt w:val="bullet"/>
      <w:pStyle w:val="ListParagraph"/>
      <w:lvlText w:val=""/>
      <w:lvlJc w:val="left"/>
      <w:pPr>
        <w:ind w:left="680" w:hanging="396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A57D30"/>
    <w:multiLevelType w:val="hybridMultilevel"/>
    <w:tmpl w:val="18969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085624"/>
    <w:multiLevelType w:val="hybridMultilevel"/>
    <w:tmpl w:val="F29254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B594F"/>
    <w:multiLevelType w:val="hybridMultilevel"/>
    <w:tmpl w:val="E9C27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31CC6"/>
    <w:multiLevelType w:val="hybridMultilevel"/>
    <w:tmpl w:val="FA16E8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00119"/>
    <w:multiLevelType w:val="hybridMultilevel"/>
    <w:tmpl w:val="9C62E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821F2A"/>
    <w:multiLevelType w:val="hybridMultilevel"/>
    <w:tmpl w:val="ADD095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F11862"/>
    <w:multiLevelType w:val="hybridMultilevel"/>
    <w:tmpl w:val="20F23F44"/>
    <w:lvl w:ilvl="0" w:tplc="39C4648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2" w15:restartNumberingAfterBreak="0">
    <w:nsid w:val="72FB548A"/>
    <w:multiLevelType w:val="hybridMultilevel"/>
    <w:tmpl w:val="334C76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C23A12"/>
    <w:multiLevelType w:val="hybridMultilevel"/>
    <w:tmpl w:val="FE606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3730D8"/>
    <w:multiLevelType w:val="hybridMultilevel"/>
    <w:tmpl w:val="47B2DA0A"/>
    <w:lvl w:ilvl="0" w:tplc="0809000F">
      <w:start w:val="1"/>
      <w:numFmt w:val="decimal"/>
      <w:lvlText w:val="%1.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num w:numId="1" w16cid:durableId="1002316376">
    <w:abstractNumId w:val="1"/>
  </w:num>
  <w:num w:numId="2" w16cid:durableId="1100298610">
    <w:abstractNumId w:val="3"/>
  </w:num>
  <w:num w:numId="3" w16cid:durableId="1412004610">
    <w:abstractNumId w:val="25"/>
  </w:num>
  <w:num w:numId="4" w16cid:durableId="1498106459">
    <w:abstractNumId w:val="5"/>
  </w:num>
  <w:num w:numId="5" w16cid:durableId="468791169">
    <w:abstractNumId w:val="31"/>
  </w:num>
  <w:num w:numId="6" w16cid:durableId="1478104886">
    <w:abstractNumId w:val="22"/>
  </w:num>
  <w:num w:numId="7" w16cid:durableId="988090545">
    <w:abstractNumId w:val="26"/>
  </w:num>
  <w:num w:numId="8" w16cid:durableId="650182721">
    <w:abstractNumId w:val="9"/>
  </w:num>
  <w:num w:numId="9" w16cid:durableId="2103258089">
    <w:abstractNumId w:val="16"/>
  </w:num>
  <w:num w:numId="10" w16cid:durableId="1163820060">
    <w:abstractNumId w:val="20"/>
  </w:num>
  <w:num w:numId="11" w16cid:durableId="603339398">
    <w:abstractNumId w:val="11"/>
  </w:num>
  <w:num w:numId="12" w16cid:durableId="2059815482">
    <w:abstractNumId w:val="28"/>
  </w:num>
  <w:num w:numId="13" w16cid:durableId="351759932">
    <w:abstractNumId w:val="0"/>
  </w:num>
  <w:num w:numId="14" w16cid:durableId="598758511">
    <w:abstractNumId w:val="2"/>
  </w:num>
  <w:num w:numId="15" w16cid:durableId="989403155">
    <w:abstractNumId w:val="34"/>
  </w:num>
  <w:num w:numId="16" w16cid:durableId="352264754">
    <w:abstractNumId w:val="23"/>
  </w:num>
  <w:num w:numId="17" w16cid:durableId="144129313">
    <w:abstractNumId w:val="14"/>
  </w:num>
  <w:num w:numId="18" w16cid:durableId="559438403">
    <w:abstractNumId w:val="18"/>
  </w:num>
  <w:num w:numId="19" w16cid:durableId="813071">
    <w:abstractNumId w:val="7"/>
  </w:num>
  <w:num w:numId="20" w16cid:durableId="160698621">
    <w:abstractNumId w:val="12"/>
  </w:num>
  <w:num w:numId="21" w16cid:durableId="2107342579">
    <w:abstractNumId w:val="30"/>
  </w:num>
  <w:num w:numId="22" w16cid:durableId="471870461">
    <w:abstractNumId w:val="17"/>
  </w:num>
  <w:num w:numId="23" w16cid:durableId="637805157">
    <w:abstractNumId w:val="27"/>
  </w:num>
  <w:num w:numId="24" w16cid:durableId="483741406">
    <w:abstractNumId w:val="10"/>
  </w:num>
  <w:num w:numId="25" w16cid:durableId="1605964075">
    <w:abstractNumId w:val="29"/>
  </w:num>
  <w:num w:numId="26" w16cid:durableId="728311233">
    <w:abstractNumId w:val="13"/>
  </w:num>
  <w:num w:numId="27" w16cid:durableId="1512180535">
    <w:abstractNumId w:val="4"/>
  </w:num>
  <w:num w:numId="28" w16cid:durableId="1666979298">
    <w:abstractNumId w:val="19"/>
  </w:num>
  <w:num w:numId="29" w16cid:durableId="1580948046">
    <w:abstractNumId w:val="33"/>
  </w:num>
  <w:num w:numId="30" w16cid:durableId="2136361199">
    <w:abstractNumId w:val="24"/>
  </w:num>
  <w:num w:numId="31" w16cid:durableId="1585414139">
    <w:abstractNumId w:val="6"/>
  </w:num>
  <w:num w:numId="32" w16cid:durableId="1938562979">
    <w:abstractNumId w:val="32"/>
  </w:num>
  <w:num w:numId="33" w16cid:durableId="1336808843">
    <w:abstractNumId w:val="8"/>
  </w:num>
  <w:num w:numId="34" w16cid:durableId="601576410">
    <w:abstractNumId w:val="15"/>
  </w:num>
  <w:num w:numId="35" w16cid:durableId="8105556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720"/>
  <w:drawingGridHorizontalSpacing w:val="110"/>
  <w:drawingGridVerticalSpacing w:val="299"/>
  <w:displayHorizontalDrawingGridEvery w:val="2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565"/>
    <w:rsid w:val="00004F6C"/>
    <w:rsid w:val="00011AEB"/>
    <w:rsid w:val="00011FD9"/>
    <w:rsid w:val="00013C0F"/>
    <w:rsid w:val="000175BD"/>
    <w:rsid w:val="00020652"/>
    <w:rsid w:val="0002452F"/>
    <w:rsid w:val="00026F84"/>
    <w:rsid w:val="00027273"/>
    <w:rsid w:val="00032BF7"/>
    <w:rsid w:val="00036A4B"/>
    <w:rsid w:val="00037F2A"/>
    <w:rsid w:val="00041724"/>
    <w:rsid w:val="00042FF9"/>
    <w:rsid w:val="0004561A"/>
    <w:rsid w:val="000464B5"/>
    <w:rsid w:val="000470BD"/>
    <w:rsid w:val="000505C4"/>
    <w:rsid w:val="000517AC"/>
    <w:rsid w:val="00053AC5"/>
    <w:rsid w:val="00055D59"/>
    <w:rsid w:val="00063D97"/>
    <w:rsid w:val="00063E1E"/>
    <w:rsid w:val="00064C6E"/>
    <w:rsid w:val="00065BF1"/>
    <w:rsid w:val="00074290"/>
    <w:rsid w:val="000753F5"/>
    <w:rsid w:val="0007620F"/>
    <w:rsid w:val="00076389"/>
    <w:rsid w:val="00076DC4"/>
    <w:rsid w:val="00077AE9"/>
    <w:rsid w:val="00081492"/>
    <w:rsid w:val="00081D83"/>
    <w:rsid w:val="0008206C"/>
    <w:rsid w:val="000913D6"/>
    <w:rsid w:val="0009279E"/>
    <w:rsid w:val="00092C1D"/>
    <w:rsid w:val="00094F2D"/>
    <w:rsid w:val="000A0777"/>
    <w:rsid w:val="000A3D13"/>
    <w:rsid w:val="000A5719"/>
    <w:rsid w:val="000B1931"/>
    <w:rsid w:val="000B2ACE"/>
    <w:rsid w:val="000B356B"/>
    <w:rsid w:val="000B4D6E"/>
    <w:rsid w:val="000B5312"/>
    <w:rsid w:val="000B5827"/>
    <w:rsid w:val="000C0416"/>
    <w:rsid w:val="000C1EAF"/>
    <w:rsid w:val="000C4184"/>
    <w:rsid w:val="000C5595"/>
    <w:rsid w:val="000C6AD9"/>
    <w:rsid w:val="000C71F0"/>
    <w:rsid w:val="000D1647"/>
    <w:rsid w:val="000D49BA"/>
    <w:rsid w:val="000D73FC"/>
    <w:rsid w:val="000D7675"/>
    <w:rsid w:val="000E2D34"/>
    <w:rsid w:val="000E321E"/>
    <w:rsid w:val="000E36E5"/>
    <w:rsid w:val="000E6B69"/>
    <w:rsid w:val="000E70BB"/>
    <w:rsid w:val="000F0215"/>
    <w:rsid w:val="000F4B3C"/>
    <w:rsid w:val="001015D9"/>
    <w:rsid w:val="00104766"/>
    <w:rsid w:val="0010694E"/>
    <w:rsid w:val="00107DFA"/>
    <w:rsid w:val="0011031C"/>
    <w:rsid w:val="00110724"/>
    <w:rsid w:val="00110C4E"/>
    <w:rsid w:val="00111593"/>
    <w:rsid w:val="00112A1A"/>
    <w:rsid w:val="00112E25"/>
    <w:rsid w:val="00113D75"/>
    <w:rsid w:val="00114118"/>
    <w:rsid w:val="001148A7"/>
    <w:rsid w:val="001205D8"/>
    <w:rsid w:val="00123670"/>
    <w:rsid w:val="00133C52"/>
    <w:rsid w:val="00133C81"/>
    <w:rsid w:val="001353AD"/>
    <w:rsid w:val="001366FE"/>
    <w:rsid w:val="00136C67"/>
    <w:rsid w:val="0014181C"/>
    <w:rsid w:val="001427D4"/>
    <w:rsid w:val="001432A2"/>
    <w:rsid w:val="0014787A"/>
    <w:rsid w:val="00151CD5"/>
    <w:rsid w:val="00152598"/>
    <w:rsid w:val="001527FF"/>
    <w:rsid w:val="00155198"/>
    <w:rsid w:val="00156A8D"/>
    <w:rsid w:val="0015710C"/>
    <w:rsid w:val="0016370C"/>
    <w:rsid w:val="001712B5"/>
    <w:rsid w:val="00186506"/>
    <w:rsid w:val="00186A0D"/>
    <w:rsid w:val="001904ED"/>
    <w:rsid w:val="001918CE"/>
    <w:rsid w:val="00196861"/>
    <w:rsid w:val="001972B6"/>
    <w:rsid w:val="00197BC1"/>
    <w:rsid w:val="001A1468"/>
    <w:rsid w:val="001A241B"/>
    <w:rsid w:val="001A2A1D"/>
    <w:rsid w:val="001A520D"/>
    <w:rsid w:val="001B015D"/>
    <w:rsid w:val="001B1054"/>
    <w:rsid w:val="001B1403"/>
    <w:rsid w:val="001B4939"/>
    <w:rsid w:val="001B5DFF"/>
    <w:rsid w:val="001B5FE4"/>
    <w:rsid w:val="001B632C"/>
    <w:rsid w:val="001B67EE"/>
    <w:rsid w:val="001B6D99"/>
    <w:rsid w:val="001C2C28"/>
    <w:rsid w:val="001C3A36"/>
    <w:rsid w:val="001C5441"/>
    <w:rsid w:val="001C5851"/>
    <w:rsid w:val="001C5906"/>
    <w:rsid w:val="001D008B"/>
    <w:rsid w:val="001D2DAB"/>
    <w:rsid w:val="001D4BC0"/>
    <w:rsid w:val="001E074D"/>
    <w:rsid w:val="001E6EB1"/>
    <w:rsid w:val="001F1635"/>
    <w:rsid w:val="001F20FE"/>
    <w:rsid w:val="001F2102"/>
    <w:rsid w:val="001F3B58"/>
    <w:rsid w:val="001F5FC4"/>
    <w:rsid w:val="001F6007"/>
    <w:rsid w:val="002008CE"/>
    <w:rsid w:val="002041F7"/>
    <w:rsid w:val="00207545"/>
    <w:rsid w:val="002102F0"/>
    <w:rsid w:val="00211F42"/>
    <w:rsid w:val="00215930"/>
    <w:rsid w:val="0023087A"/>
    <w:rsid w:val="00235205"/>
    <w:rsid w:val="00241908"/>
    <w:rsid w:val="002422A5"/>
    <w:rsid w:val="00247453"/>
    <w:rsid w:val="002501BF"/>
    <w:rsid w:val="0025021F"/>
    <w:rsid w:val="00250B51"/>
    <w:rsid w:val="00252357"/>
    <w:rsid w:val="00253729"/>
    <w:rsid w:val="002538FE"/>
    <w:rsid w:val="00254EA7"/>
    <w:rsid w:val="00257F46"/>
    <w:rsid w:val="00261BBC"/>
    <w:rsid w:val="0026213C"/>
    <w:rsid w:val="00263F33"/>
    <w:rsid w:val="00264A6A"/>
    <w:rsid w:val="00273235"/>
    <w:rsid w:val="00274965"/>
    <w:rsid w:val="0027671F"/>
    <w:rsid w:val="00276E02"/>
    <w:rsid w:val="00287161"/>
    <w:rsid w:val="00287B59"/>
    <w:rsid w:val="00287FAD"/>
    <w:rsid w:val="00296098"/>
    <w:rsid w:val="002A007D"/>
    <w:rsid w:val="002A18C1"/>
    <w:rsid w:val="002A35F4"/>
    <w:rsid w:val="002A4A4A"/>
    <w:rsid w:val="002B2B76"/>
    <w:rsid w:val="002B3A07"/>
    <w:rsid w:val="002B48E7"/>
    <w:rsid w:val="002B660D"/>
    <w:rsid w:val="002C3A75"/>
    <w:rsid w:val="002C560D"/>
    <w:rsid w:val="002C567B"/>
    <w:rsid w:val="002D0795"/>
    <w:rsid w:val="002D237F"/>
    <w:rsid w:val="002D29E5"/>
    <w:rsid w:val="002D4CC6"/>
    <w:rsid w:val="002D62E2"/>
    <w:rsid w:val="002D6827"/>
    <w:rsid w:val="002E137E"/>
    <w:rsid w:val="002E2F69"/>
    <w:rsid w:val="002E4AFD"/>
    <w:rsid w:val="002E70B3"/>
    <w:rsid w:val="002F7AAC"/>
    <w:rsid w:val="00304C86"/>
    <w:rsid w:val="00305E0D"/>
    <w:rsid w:val="003100FB"/>
    <w:rsid w:val="00314900"/>
    <w:rsid w:val="00315FA6"/>
    <w:rsid w:val="0031696C"/>
    <w:rsid w:val="00320667"/>
    <w:rsid w:val="003258B2"/>
    <w:rsid w:val="00331CC7"/>
    <w:rsid w:val="003341A4"/>
    <w:rsid w:val="00334B25"/>
    <w:rsid w:val="00334C4B"/>
    <w:rsid w:val="00337F07"/>
    <w:rsid w:val="0034166D"/>
    <w:rsid w:val="00343E00"/>
    <w:rsid w:val="00345C3C"/>
    <w:rsid w:val="0034765D"/>
    <w:rsid w:val="003503D3"/>
    <w:rsid w:val="00351AA5"/>
    <w:rsid w:val="0035628F"/>
    <w:rsid w:val="00357663"/>
    <w:rsid w:val="0036175D"/>
    <w:rsid w:val="00362328"/>
    <w:rsid w:val="00362826"/>
    <w:rsid w:val="00363898"/>
    <w:rsid w:val="00365FE2"/>
    <w:rsid w:val="00366B9A"/>
    <w:rsid w:val="00367A01"/>
    <w:rsid w:val="00373AA2"/>
    <w:rsid w:val="0037755B"/>
    <w:rsid w:val="00377956"/>
    <w:rsid w:val="00377A59"/>
    <w:rsid w:val="00377AB3"/>
    <w:rsid w:val="00377B05"/>
    <w:rsid w:val="0038599A"/>
    <w:rsid w:val="003905E3"/>
    <w:rsid w:val="00392074"/>
    <w:rsid w:val="003934AA"/>
    <w:rsid w:val="00393B56"/>
    <w:rsid w:val="003963FB"/>
    <w:rsid w:val="003969D1"/>
    <w:rsid w:val="003A1DB5"/>
    <w:rsid w:val="003A2968"/>
    <w:rsid w:val="003A655F"/>
    <w:rsid w:val="003A76CE"/>
    <w:rsid w:val="003A7800"/>
    <w:rsid w:val="003B24FF"/>
    <w:rsid w:val="003B275C"/>
    <w:rsid w:val="003C0087"/>
    <w:rsid w:val="003C0F7F"/>
    <w:rsid w:val="003C1835"/>
    <w:rsid w:val="003C2750"/>
    <w:rsid w:val="003C5B21"/>
    <w:rsid w:val="003D09D7"/>
    <w:rsid w:val="003D4627"/>
    <w:rsid w:val="003D4A5D"/>
    <w:rsid w:val="003D52B2"/>
    <w:rsid w:val="003D5597"/>
    <w:rsid w:val="003E0186"/>
    <w:rsid w:val="003E3280"/>
    <w:rsid w:val="003E3565"/>
    <w:rsid w:val="003E3CE7"/>
    <w:rsid w:val="003E488E"/>
    <w:rsid w:val="003E6AB1"/>
    <w:rsid w:val="003E6E1C"/>
    <w:rsid w:val="003E7945"/>
    <w:rsid w:val="003E7F88"/>
    <w:rsid w:val="003F1361"/>
    <w:rsid w:val="003F138A"/>
    <w:rsid w:val="003F2078"/>
    <w:rsid w:val="003F4C9E"/>
    <w:rsid w:val="003F5662"/>
    <w:rsid w:val="003F6737"/>
    <w:rsid w:val="003F7BCB"/>
    <w:rsid w:val="00403629"/>
    <w:rsid w:val="004059A6"/>
    <w:rsid w:val="004139EE"/>
    <w:rsid w:val="0041460F"/>
    <w:rsid w:val="00415039"/>
    <w:rsid w:val="004153F5"/>
    <w:rsid w:val="00417321"/>
    <w:rsid w:val="0042496E"/>
    <w:rsid w:val="00425B94"/>
    <w:rsid w:val="00425C6A"/>
    <w:rsid w:val="00426FCA"/>
    <w:rsid w:val="00427628"/>
    <w:rsid w:val="00431EB1"/>
    <w:rsid w:val="0043505F"/>
    <w:rsid w:val="00440A75"/>
    <w:rsid w:val="00443137"/>
    <w:rsid w:val="00443F48"/>
    <w:rsid w:val="004442A2"/>
    <w:rsid w:val="00444AAA"/>
    <w:rsid w:val="0044639A"/>
    <w:rsid w:val="00452997"/>
    <w:rsid w:val="0045362C"/>
    <w:rsid w:val="00455702"/>
    <w:rsid w:val="00456B53"/>
    <w:rsid w:val="00457BE1"/>
    <w:rsid w:val="00462532"/>
    <w:rsid w:val="004707FB"/>
    <w:rsid w:val="0047541F"/>
    <w:rsid w:val="00476D92"/>
    <w:rsid w:val="00477C4A"/>
    <w:rsid w:val="00482F4B"/>
    <w:rsid w:val="004844E8"/>
    <w:rsid w:val="00484A7B"/>
    <w:rsid w:val="00487B59"/>
    <w:rsid w:val="00490221"/>
    <w:rsid w:val="004917DA"/>
    <w:rsid w:val="0049184C"/>
    <w:rsid w:val="004925D4"/>
    <w:rsid w:val="004936A0"/>
    <w:rsid w:val="0049412D"/>
    <w:rsid w:val="00494789"/>
    <w:rsid w:val="004A4C57"/>
    <w:rsid w:val="004B073C"/>
    <w:rsid w:val="004B235F"/>
    <w:rsid w:val="004B2698"/>
    <w:rsid w:val="004B3580"/>
    <w:rsid w:val="004B48D6"/>
    <w:rsid w:val="004C10CF"/>
    <w:rsid w:val="004D0778"/>
    <w:rsid w:val="004D0A46"/>
    <w:rsid w:val="004D1992"/>
    <w:rsid w:val="004D4142"/>
    <w:rsid w:val="004D58BE"/>
    <w:rsid w:val="004D79CC"/>
    <w:rsid w:val="004D79D7"/>
    <w:rsid w:val="004E13FE"/>
    <w:rsid w:val="004E210A"/>
    <w:rsid w:val="004E3A41"/>
    <w:rsid w:val="004E5024"/>
    <w:rsid w:val="004E5677"/>
    <w:rsid w:val="004E5FF9"/>
    <w:rsid w:val="004F038E"/>
    <w:rsid w:val="00500448"/>
    <w:rsid w:val="00502E4B"/>
    <w:rsid w:val="0051185F"/>
    <w:rsid w:val="00511A43"/>
    <w:rsid w:val="00511C8F"/>
    <w:rsid w:val="00511FF9"/>
    <w:rsid w:val="00512FA3"/>
    <w:rsid w:val="005139B7"/>
    <w:rsid w:val="005151B5"/>
    <w:rsid w:val="005172CC"/>
    <w:rsid w:val="0052384A"/>
    <w:rsid w:val="00523CBD"/>
    <w:rsid w:val="0052595A"/>
    <w:rsid w:val="00525E5A"/>
    <w:rsid w:val="00526069"/>
    <w:rsid w:val="00526FC1"/>
    <w:rsid w:val="00527930"/>
    <w:rsid w:val="00530E47"/>
    <w:rsid w:val="00534863"/>
    <w:rsid w:val="005353C3"/>
    <w:rsid w:val="00536EEC"/>
    <w:rsid w:val="00537B6E"/>
    <w:rsid w:val="0054163D"/>
    <w:rsid w:val="005460CE"/>
    <w:rsid w:val="0055542D"/>
    <w:rsid w:val="005600E3"/>
    <w:rsid w:val="00564D7B"/>
    <w:rsid w:val="00567688"/>
    <w:rsid w:val="005721F5"/>
    <w:rsid w:val="00574167"/>
    <w:rsid w:val="005741B8"/>
    <w:rsid w:val="00577885"/>
    <w:rsid w:val="005806E5"/>
    <w:rsid w:val="00586D6C"/>
    <w:rsid w:val="005875EA"/>
    <w:rsid w:val="0059331B"/>
    <w:rsid w:val="005A040F"/>
    <w:rsid w:val="005A0554"/>
    <w:rsid w:val="005A11B7"/>
    <w:rsid w:val="005A406B"/>
    <w:rsid w:val="005A579D"/>
    <w:rsid w:val="005A5826"/>
    <w:rsid w:val="005A672F"/>
    <w:rsid w:val="005B215B"/>
    <w:rsid w:val="005B7A41"/>
    <w:rsid w:val="005C3EAF"/>
    <w:rsid w:val="005C462D"/>
    <w:rsid w:val="005C4DE3"/>
    <w:rsid w:val="005C6680"/>
    <w:rsid w:val="005C74DC"/>
    <w:rsid w:val="005D4594"/>
    <w:rsid w:val="005D6534"/>
    <w:rsid w:val="005D70A3"/>
    <w:rsid w:val="005E0BE9"/>
    <w:rsid w:val="005E23CD"/>
    <w:rsid w:val="005E3597"/>
    <w:rsid w:val="005E4A04"/>
    <w:rsid w:val="005E5506"/>
    <w:rsid w:val="005E570B"/>
    <w:rsid w:val="005F1138"/>
    <w:rsid w:val="005F6CE2"/>
    <w:rsid w:val="00601BCB"/>
    <w:rsid w:val="00606891"/>
    <w:rsid w:val="00607163"/>
    <w:rsid w:val="00613761"/>
    <w:rsid w:val="00613F04"/>
    <w:rsid w:val="00614A57"/>
    <w:rsid w:val="006210C5"/>
    <w:rsid w:val="0062187F"/>
    <w:rsid w:val="006278A3"/>
    <w:rsid w:val="00634320"/>
    <w:rsid w:val="00640515"/>
    <w:rsid w:val="00640584"/>
    <w:rsid w:val="00641B72"/>
    <w:rsid w:val="00642F77"/>
    <w:rsid w:val="00647921"/>
    <w:rsid w:val="006544DD"/>
    <w:rsid w:val="00655FDC"/>
    <w:rsid w:val="0065742F"/>
    <w:rsid w:val="00660DEA"/>
    <w:rsid w:val="00662AB8"/>
    <w:rsid w:val="00663F1E"/>
    <w:rsid w:val="00665C98"/>
    <w:rsid w:val="00665EF2"/>
    <w:rsid w:val="00670AF3"/>
    <w:rsid w:val="006719C6"/>
    <w:rsid w:val="00671F80"/>
    <w:rsid w:val="00674FC3"/>
    <w:rsid w:val="00677521"/>
    <w:rsid w:val="00681560"/>
    <w:rsid w:val="00692C08"/>
    <w:rsid w:val="006947EF"/>
    <w:rsid w:val="0069744D"/>
    <w:rsid w:val="006A2BBF"/>
    <w:rsid w:val="006A3678"/>
    <w:rsid w:val="006A3CCE"/>
    <w:rsid w:val="006A4CB1"/>
    <w:rsid w:val="006B4C89"/>
    <w:rsid w:val="006B667B"/>
    <w:rsid w:val="006B7133"/>
    <w:rsid w:val="006C0400"/>
    <w:rsid w:val="006C47F3"/>
    <w:rsid w:val="006C72E3"/>
    <w:rsid w:val="006C7B9E"/>
    <w:rsid w:val="006D1B26"/>
    <w:rsid w:val="006D28AE"/>
    <w:rsid w:val="006D39B3"/>
    <w:rsid w:val="006D3E5E"/>
    <w:rsid w:val="006D42A5"/>
    <w:rsid w:val="006E1CA0"/>
    <w:rsid w:val="006E2EF0"/>
    <w:rsid w:val="006E442C"/>
    <w:rsid w:val="006E48E4"/>
    <w:rsid w:val="006E4A50"/>
    <w:rsid w:val="006E4BFE"/>
    <w:rsid w:val="006E58CD"/>
    <w:rsid w:val="006F3096"/>
    <w:rsid w:val="006F3559"/>
    <w:rsid w:val="00706E9E"/>
    <w:rsid w:val="00725872"/>
    <w:rsid w:val="00726C7D"/>
    <w:rsid w:val="00726D63"/>
    <w:rsid w:val="00726D99"/>
    <w:rsid w:val="0072718E"/>
    <w:rsid w:val="00727359"/>
    <w:rsid w:val="00732A34"/>
    <w:rsid w:val="00734DEB"/>
    <w:rsid w:val="00741766"/>
    <w:rsid w:val="00741897"/>
    <w:rsid w:val="00746260"/>
    <w:rsid w:val="00751AA7"/>
    <w:rsid w:val="00752765"/>
    <w:rsid w:val="0075329C"/>
    <w:rsid w:val="00754656"/>
    <w:rsid w:val="00754D1E"/>
    <w:rsid w:val="00757B91"/>
    <w:rsid w:val="00761B1E"/>
    <w:rsid w:val="00762693"/>
    <w:rsid w:val="007635C8"/>
    <w:rsid w:val="00764F1D"/>
    <w:rsid w:val="007650C6"/>
    <w:rsid w:val="007657B6"/>
    <w:rsid w:val="00765C90"/>
    <w:rsid w:val="00774311"/>
    <w:rsid w:val="00784182"/>
    <w:rsid w:val="00784461"/>
    <w:rsid w:val="00796C10"/>
    <w:rsid w:val="00797433"/>
    <w:rsid w:val="007A428E"/>
    <w:rsid w:val="007A42B8"/>
    <w:rsid w:val="007A4966"/>
    <w:rsid w:val="007A4C83"/>
    <w:rsid w:val="007A7AD0"/>
    <w:rsid w:val="007B1F9B"/>
    <w:rsid w:val="007B423D"/>
    <w:rsid w:val="007B6919"/>
    <w:rsid w:val="007C0251"/>
    <w:rsid w:val="007C0CD6"/>
    <w:rsid w:val="007C2930"/>
    <w:rsid w:val="007C5DD1"/>
    <w:rsid w:val="007D3C8C"/>
    <w:rsid w:val="007D55D4"/>
    <w:rsid w:val="007E0EE1"/>
    <w:rsid w:val="007E0F86"/>
    <w:rsid w:val="007E5D64"/>
    <w:rsid w:val="007E7B62"/>
    <w:rsid w:val="007E7D3E"/>
    <w:rsid w:val="007F0045"/>
    <w:rsid w:val="007F0A0C"/>
    <w:rsid w:val="007F3AB7"/>
    <w:rsid w:val="007F4BBB"/>
    <w:rsid w:val="007F5636"/>
    <w:rsid w:val="008003E9"/>
    <w:rsid w:val="00801F6F"/>
    <w:rsid w:val="0080518C"/>
    <w:rsid w:val="00805906"/>
    <w:rsid w:val="00806CEF"/>
    <w:rsid w:val="008133DF"/>
    <w:rsid w:val="00815A05"/>
    <w:rsid w:val="00816E11"/>
    <w:rsid w:val="00817269"/>
    <w:rsid w:val="00817946"/>
    <w:rsid w:val="00823F61"/>
    <w:rsid w:val="00824286"/>
    <w:rsid w:val="00830A45"/>
    <w:rsid w:val="00836325"/>
    <w:rsid w:val="00836EC5"/>
    <w:rsid w:val="00841C14"/>
    <w:rsid w:val="0084487C"/>
    <w:rsid w:val="00845C8E"/>
    <w:rsid w:val="00847678"/>
    <w:rsid w:val="008544C3"/>
    <w:rsid w:val="008546B1"/>
    <w:rsid w:val="008626C0"/>
    <w:rsid w:val="008720F7"/>
    <w:rsid w:val="0087233C"/>
    <w:rsid w:val="00872E29"/>
    <w:rsid w:val="00872EA0"/>
    <w:rsid w:val="00872EB0"/>
    <w:rsid w:val="00876128"/>
    <w:rsid w:val="008803CD"/>
    <w:rsid w:val="0088243D"/>
    <w:rsid w:val="00882B2F"/>
    <w:rsid w:val="00882C2D"/>
    <w:rsid w:val="0089002A"/>
    <w:rsid w:val="0089333F"/>
    <w:rsid w:val="00893778"/>
    <w:rsid w:val="0089399A"/>
    <w:rsid w:val="008962EF"/>
    <w:rsid w:val="00897349"/>
    <w:rsid w:val="008A53B6"/>
    <w:rsid w:val="008A5484"/>
    <w:rsid w:val="008B16AB"/>
    <w:rsid w:val="008B2863"/>
    <w:rsid w:val="008B3408"/>
    <w:rsid w:val="008B3A9F"/>
    <w:rsid w:val="008B60EF"/>
    <w:rsid w:val="008C0615"/>
    <w:rsid w:val="008C0C12"/>
    <w:rsid w:val="008C43F7"/>
    <w:rsid w:val="008C4955"/>
    <w:rsid w:val="008D01D7"/>
    <w:rsid w:val="008D14E6"/>
    <w:rsid w:val="008D1733"/>
    <w:rsid w:val="008D2C05"/>
    <w:rsid w:val="008D34E1"/>
    <w:rsid w:val="008D6058"/>
    <w:rsid w:val="008D69A0"/>
    <w:rsid w:val="008E17BD"/>
    <w:rsid w:val="008E5D89"/>
    <w:rsid w:val="008E5DD6"/>
    <w:rsid w:val="008E6ED8"/>
    <w:rsid w:val="008F0379"/>
    <w:rsid w:val="008F453A"/>
    <w:rsid w:val="0090628C"/>
    <w:rsid w:val="00906FEC"/>
    <w:rsid w:val="0091097E"/>
    <w:rsid w:val="00911EE1"/>
    <w:rsid w:val="00915395"/>
    <w:rsid w:val="0091663E"/>
    <w:rsid w:val="00920C5F"/>
    <w:rsid w:val="00922367"/>
    <w:rsid w:val="00922A7B"/>
    <w:rsid w:val="00923279"/>
    <w:rsid w:val="00924042"/>
    <w:rsid w:val="0092522C"/>
    <w:rsid w:val="00925CA7"/>
    <w:rsid w:val="00926D4D"/>
    <w:rsid w:val="0093005B"/>
    <w:rsid w:val="00930074"/>
    <w:rsid w:val="009320CF"/>
    <w:rsid w:val="00935053"/>
    <w:rsid w:val="009425CF"/>
    <w:rsid w:val="00943580"/>
    <w:rsid w:val="00947195"/>
    <w:rsid w:val="00957C8A"/>
    <w:rsid w:val="00957D0E"/>
    <w:rsid w:val="00961345"/>
    <w:rsid w:val="0096543C"/>
    <w:rsid w:val="00965B61"/>
    <w:rsid w:val="00966CBB"/>
    <w:rsid w:val="00976583"/>
    <w:rsid w:val="00977A45"/>
    <w:rsid w:val="00981321"/>
    <w:rsid w:val="00981D86"/>
    <w:rsid w:val="009854CF"/>
    <w:rsid w:val="00987482"/>
    <w:rsid w:val="00995B41"/>
    <w:rsid w:val="00996057"/>
    <w:rsid w:val="009976B6"/>
    <w:rsid w:val="009A0D4C"/>
    <w:rsid w:val="009A19F9"/>
    <w:rsid w:val="009A21A4"/>
    <w:rsid w:val="009A3484"/>
    <w:rsid w:val="009A5FC3"/>
    <w:rsid w:val="009B09DC"/>
    <w:rsid w:val="009B2AB1"/>
    <w:rsid w:val="009B3767"/>
    <w:rsid w:val="009C005B"/>
    <w:rsid w:val="009C5C9B"/>
    <w:rsid w:val="009C646A"/>
    <w:rsid w:val="009C6954"/>
    <w:rsid w:val="009D037E"/>
    <w:rsid w:val="009D0CB3"/>
    <w:rsid w:val="009D7A8D"/>
    <w:rsid w:val="009E1890"/>
    <w:rsid w:val="009E2C20"/>
    <w:rsid w:val="009F1B5F"/>
    <w:rsid w:val="009F2C47"/>
    <w:rsid w:val="009F5846"/>
    <w:rsid w:val="009F762B"/>
    <w:rsid w:val="009F7DDD"/>
    <w:rsid w:val="00A04A1C"/>
    <w:rsid w:val="00A0529D"/>
    <w:rsid w:val="00A07D70"/>
    <w:rsid w:val="00A11E71"/>
    <w:rsid w:val="00A12437"/>
    <w:rsid w:val="00A15A86"/>
    <w:rsid w:val="00A2407B"/>
    <w:rsid w:val="00A250EA"/>
    <w:rsid w:val="00A258BE"/>
    <w:rsid w:val="00A31CF7"/>
    <w:rsid w:val="00A3726E"/>
    <w:rsid w:val="00A41496"/>
    <w:rsid w:val="00A50FE0"/>
    <w:rsid w:val="00A5268A"/>
    <w:rsid w:val="00A52E37"/>
    <w:rsid w:val="00A542BB"/>
    <w:rsid w:val="00A619B4"/>
    <w:rsid w:val="00A61EC9"/>
    <w:rsid w:val="00A67875"/>
    <w:rsid w:val="00A7289E"/>
    <w:rsid w:val="00A74288"/>
    <w:rsid w:val="00A76AF3"/>
    <w:rsid w:val="00A76B11"/>
    <w:rsid w:val="00A81F78"/>
    <w:rsid w:val="00A835E4"/>
    <w:rsid w:val="00A840E8"/>
    <w:rsid w:val="00A8430C"/>
    <w:rsid w:val="00A861FF"/>
    <w:rsid w:val="00A87E32"/>
    <w:rsid w:val="00A93225"/>
    <w:rsid w:val="00A94118"/>
    <w:rsid w:val="00AA2B15"/>
    <w:rsid w:val="00AA3732"/>
    <w:rsid w:val="00AA45D2"/>
    <w:rsid w:val="00AA590D"/>
    <w:rsid w:val="00AB1808"/>
    <w:rsid w:val="00AB190A"/>
    <w:rsid w:val="00AB312B"/>
    <w:rsid w:val="00AB320D"/>
    <w:rsid w:val="00AB323E"/>
    <w:rsid w:val="00AB5509"/>
    <w:rsid w:val="00AB582F"/>
    <w:rsid w:val="00AC049A"/>
    <w:rsid w:val="00AC4143"/>
    <w:rsid w:val="00AC4921"/>
    <w:rsid w:val="00AD0CEB"/>
    <w:rsid w:val="00AD1343"/>
    <w:rsid w:val="00AE5FDB"/>
    <w:rsid w:val="00AE760E"/>
    <w:rsid w:val="00AE7CAA"/>
    <w:rsid w:val="00AF4FBC"/>
    <w:rsid w:val="00AF6502"/>
    <w:rsid w:val="00B01E0F"/>
    <w:rsid w:val="00B026C6"/>
    <w:rsid w:val="00B05920"/>
    <w:rsid w:val="00B07F51"/>
    <w:rsid w:val="00B12482"/>
    <w:rsid w:val="00B14306"/>
    <w:rsid w:val="00B14788"/>
    <w:rsid w:val="00B14841"/>
    <w:rsid w:val="00B150D3"/>
    <w:rsid w:val="00B16EAB"/>
    <w:rsid w:val="00B21914"/>
    <w:rsid w:val="00B23562"/>
    <w:rsid w:val="00B23E40"/>
    <w:rsid w:val="00B274AB"/>
    <w:rsid w:val="00B31B62"/>
    <w:rsid w:val="00B33DE3"/>
    <w:rsid w:val="00B355CD"/>
    <w:rsid w:val="00B37ACA"/>
    <w:rsid w:val="00B410D3"/>
    <w:rsid w:val="00B41152"/>
    <w:rsid w:val="00B42D5E"/>
    <w:rsid w:val="00B47F1D"/>
    <w:rsid w:val="00B50C83"/>
    <w:rsid w:val="00B52AE9"/>
    <w:rsid w:val="00B542F2"/>
    <w:rsid w:val="00B54E2D"/>
    <w:rsid w:val="00B638D7"/>
    <w:rsid w:val="00B63F90"/>
    <w:rsid w:val="00B6472B"/>
    <w:rsid w:val="00B66FF0"/>
    <w:rsid w:val="00B6701B"/>
    <w:rsid w:val="00B67D96"/>
    <w:rsid w:val="00B70A42"/>
    <w:rsid w:val="00B751CA"/>
    <w:rsid w:val="00B767A5"/>
    <w:rsid w:val="00B80D24"/>
    <w:rsid w:val="00B82941"/>
    <w:rsid w:val="00B83A02"/>
    <w:rsid w:val="00B858EF"/>
    <w:rsid w:val="00B8651E"/>
    <w:rsid w:val="00B865DC"/>
    <w:rsid w:val="00B866C7"/>
    <w:rsid w:val="00B87C35"/>
    <w:rsid w:val="00B903DB"/>
    <w:rsid w:val="00B96E6B"/>
    <w:rsid w:val="00B9753F"/>
    <w:rsid w:val="00B97562"/>
    <w:rsid w:val="00BA04C1"/>
    <w:rsid w:val="00BA3171"/>
    <w:rsid w:val="00BA5952"/>
    <w:rsid w:val="00BA5C6F"/>
    <w:rsid w:val="00BA7D49"/>
    <w:rsid w:val="00BB4DB0"/>
    <w:rsid w:val="00BB522F"/>
    <w:rsid w:val="00BB6F7D"/>
    <w:rsid w:val="00BC12DF"/>
    <w:rsid w:val="00BC3C14"/>
    <w:rsid w:val="00BC6561"/>
    <w:rsid w:val="00BD1513"/>
    <w:rsid w:val="00BD17B0"/>
    <w:rsid w:val="00BD1B20"/>
    <w:rsid w:val="00BD35CD"/>
    <w:rsid w:val="00BD52A6"/>
    <w:rsid w:val="00BD5458"/>
    <w:rsid w:val="00BD5D3D"/>
    <w:rsid w:val="00BE0E83"/>
    <w:rsid w:val="00BE243F"/>
    <w:rsid w:val="00BE2B45"/>
    <w:rsid w:val="00BE44D5"/>
    <w:rsid w:val="00BE4667"/>
    <w:rsid w:val="00BE6778"/>
    <w:rsid w:val="00BE7FF2"/>
    <w:rsid w:val="00BF12F5"/>
    <w:rsid w:val="00BF552C"/>
    <w:rsid w:val="00C02BC1"/>
    <w:rsid w:val="00C0479A"/>
    <w:rsid w:val="00C04E47"/>
    <w:rsid w:val="00C050B8"/>
    <w:rsid w:val="00C05DAA"/>
    <w:rsid w:val="00C0639B"/>
    <w:rsid w:val="00C1218A"/>
    <w:rsid w:val="00C12502"/>
    <w:rsid w:val="00C12F21"/>
    <w:rsid w:val="00C1378E"/>
    <w:rsid w:val="00C15F06"/>
    <w:rsid w:val="00C160EC"/>
    <w:rsid w:val="00C17D58"/>
    <w:rsid w:val="00C17F52"/>
    <w:rsid w:val="00C22E58"/>
    <w:rsid w:val="00C26DA5"/>
    <w:rsid w:val="00C30E75"/>
    <w:rsid w:val="00C31564"/>
    <w:rsid w:val="00C32ED6"/>
    <w:rsid w:val="00C36385"/>
    <w:rsid w:val="00C37C8A"/>
    <w:rsid w:val="00C41461"/>
    <w:rsid w:val="00C4165F"/>
    <w:rsid w:val="00C42A70"/>
    <w:rsid w:val="00C42D41"/>
    <w:rsid w:val="00C44BD6"/>
    <w:rsid w:val="00C46EE1"/>
    <w:rsid w:val="00C500B4"/>
    <w:rsid w:val="00C504C6"/>
    <w:rsid w:val="00C50801"/>
    <w:rsid w:val="00C508BB"/>
    <w:rsid w:val="00C50C00"/>
    <w:rsid w:val="00C5296F"/>
    <w:rsid w:val="00C61152"/>
    <w:rsid w:val="00C612D6"/>
    <w:rsid w:val="00C615D0"/>
    <w:rsid w:val="00C619FA"/>
    <w:rsid w:val="00C624EE"/>
    <w:rsid w:val="00C63B7A"/>
    <w:rsid w:val="00C6502E"/>
    <w:rsid w:val="00C67C14"/>
    <w:rsid w:val="00C72EB7"/>
    <w:rsid w:val="00C74F9A"/>
    <w:rsid w:val="00C760FD"/>
    <w:rsid w:val="00C816A4"/>
    <w:rsid w:val="00C850AE"/>
    <w:rsid w:val="00C85FA6"/>
    <w:rsid w:val="00C91369"/>
    <w:rsid w:val="00CA06B7"/>
    <w:rsid w:val="00CA2B18"/>
    <w:rsid w:val="00CA3AF8"/>
    <w:rsid w:val="00CA3F75"/>
    <w:rsid w:val="00CA6B2B"/>
    <w:rsid w:val="00CA6F7D"/>
    <w:rsid w:val="00CB1844"/>
    <w:rsid w:val="00CB290F"/>
    <w:rsid w:val="00CB43A0"/>
    <w:rsid w:val="00CB4658"/>
    <w:rsid w:val="00CC1A09"/>
    <w:rsid w:val="00CC33E4"/>
    <w:rsid w:val="00CC35CB"/>
    <w:rsid w:val="00CC50AB"/>
    <w:rsid w:val="00CC6AE0"/>
    <w:rsid w:val="00CD01F9"/>
    <w:rsid w:val="00CD05DC"/>
    <w:rsid w:val="00CD2594"/>
    <w:rsid w:val="00CD49A5"/>
    <w:rsid w:val="00CD7BC5"/>
    <w:rsid w:val="00CE05F1"/>
    <w:rsid w:val="00CE0854"/>
    <w:rsid w:val="00CE0D87"/>
    <w:rsid w:val="00CE2BF1"/>
    <w:rsid w:val="00CE42ED"/>
    <w:rsid w:val="00CF1D33"/>
    <w:rsid w:val="00CF22CB"/>
    <w:rsid w:val="00CF4EB6"/>
    <w:rsid w:val="00D0005B"/>
    <w:rsid w:val="00D02C3B"/>
    <w:rsid w:val="00D03D22"/>
    <w:rsid w:val="00D04A2C"/>
    <w:rsid w:val="00D1033B"/>
    <w:rsid w:val="00D1200C"/>
    <w:rsid w:val="00D12FB7"/>
    <w:rsid w:val="00D13729"/>
    <w:rsid w:val="00D13C7D"/>
    <w:rsid w:val="00D14B44"/>
    <w:rsid w:val="00D15C74"/>
    <w:rsid w:val="00D15D5D"/>
    <w:rsid w:val="00D202FB"/>
    <w:rsid w:val="00D20416"/>
    <w:rsid w:val="00D20CD9"/>
    <w:rsid w:val="00D2598A"/>
    <w:rsid w:val="00D309DB"/>
    <w:rsid w:val="00D313CB"/>
    <w:rsid w:val="00D3324D"/>
    <w:rsid w:val="00D353A8"/>
    <w:rsid w:val="00D35427"/>
    <w:rsid w:val="00D407AD"/>
    <w:rsid w:val="00D45CA3"/>
    <w:rsid w:val="00D47189"/>
    <w:rsid w:val="00D50C3A"/>
    <w:rsid w:val="00D529CB"/>
    <w:rsid w:val="00D53011"/>
    <w:rsid w:val="00D53C68"/>
    <w:rsid w:val="00D56CFA"/>
    <w:rsid w:val="00D5717A"/>
    <w:rsid w:val="00D600AB"/>
    <w:rsid w:val="00D62A0A"/>
    <w:rsid w:val="00D65B2A"/>
    <w:rsid w:val="00D65BDE"/>
    <w:rsid w:val="00D660A3"/>
    <w:rsid w:val="00D669B8"/>
    <w:rsid w:val="00D67BAF"/>
    <w:rsid w:val="00D67D93"/>
    <w:rsid w:val="00D71111"/>
    <w:rsid w:val="00D86732"/>
    <w:rsid w:val="00D87602"/>
    <w:rsid w:val="00D90133"/>
    <w:rsid w:val="00D90699"/>
    <w:rsid w:val="00D92D4F"/>
    <w:rsid w:val="00D93E1F"/>
    <w:rsid w:val="00D97381"/>
    <w:rsid w:val="00D974F6"/>
    <w:rsid w:val="00DA0361"/>
    <w:rsid w:val="00DA0D55"/>
    <w:rsid w:val="00DA1013"/>
    <w:rsid w:val="00DA2C16"/>
    <w:rsid w:val="00DA75CE"/>
    <w:rsid w:val="00DB7618"/>
    <w:rsid w:val="00DD077B"/>
    <w:rsid w:val="00DD1646"/>
    <w:rsid w:val="00DD21F2"/>
    <w:rsid w:val="00DD585F"/>
    <w:rsid w:val="00DE413B"/>
    <w:rsid w:val="00DE4255"/>
    <w:rsid w:val="00DF01D8"/>
    <w:rsid w:val="00DF3FCB"/>
    <w:rsid w:val="00DF5A4E"/>
    <w:rsid w:val="00DF77FD"/>
    <w:rsid w:val="00E0021F"/>
    <w:rsid w:val="00E01521"/>
    <w:rsid w:val="00E01AB5"/>
    <w:rsid w:val="00E101E6"/>
    <w:rsid w:val="00E12FFA"/>
    <w:rsid w:val="00E17FAB"/>
    <w:rsid w:val="00E20E29"/>
    <w:rsid w:val="00E246E2"/>
    <w:rsid w:val="00E251CB"/>
    <w:rsid w:val="00E26182"/>
    <w:rsid w:val="00E26355"/>
    <w:rsid w:val="00E263EB"/>
    <w:rsid w:val="00E27B3D"/>
    <w:rsid w:val="00E31AC8"/>
    <w:rsid w:val="00E31C88"/>
    <w:rsid w:val="00E34138"/>
    <w:rsid w:val="00E35DC8"/>
    <w:rsid w:val="00E41575"/>
    <w:rsid w:val="00E47A3F"/>
    <w:rsid w:val="00E5745C"/>
    <w:rsid w:val="00E60E93"/>
    <w:rsid w:val="00E62860"/>
    <w:rsid w:val="00E62D4E"/>
    <w:rsid w:val="00E64FF7"/>
    <w:rsid w:val="00E70229"/>
    <w:rsid w:val="00E70378"/>
    <w:rsid w:val="00E70987"/>
    <w:rsid w:val="00E72DCE"/>
    <w:rsid w:val="00E763AC"/>
    <w:rsid w:val="00E771DA"/>
    <w:rsid w:val="00E77425"/>
    <w:rsid w:val="00E77D6E"/>
    <w:rsid w:val="00E8078E"/>
    <w:rsid w:val="00E82A21"/>
    <w:rsid w:val="00E85598"/>
    <w:rsid w:val="00E9226B"/>
    <w:rsid w:val="00EA04F1"/>
    <w:rsid w:val="00EA3BBB"/>
    <w:rsid w:val="00EA50E2"/>
    <w:rsid w:val="00EA727C"/>
    <w:rsid w:val="00EA7994"/>
    <w:rsid w:val="00EB395D"/>
    <w:rsid w:val="00EB6567"/>
    <w:rsid w:val="00EC0F48"/>
    <w:rsid w:val="00EC1064"/>
    <w:rsid w:val="00EC2A3B"/>
    <w:rsid w:val="00EC34F2"/>
    <w:rsid w:val="00EC3F33"/>
    <w:rsid w:val="00EC3FF0"/>
    <w:rsid w:val="00EC7173"/>
    <w:rsid w:val="00ED1B6C"/>
    <w:rsid w:val="00ED774A"/>
    <w:rsid w:val="00EE2088"/>
    <w:rsid w:val="00EE4EDC"/>
    <w:rsid w:val="00EE5234"/>
    <w:rsid w:val="00EE5B03"/>
    <w:rsid w:val="00EF24F6"/>
    <w:rsid w:val="00EF50CD"/>
    <w:rsid w:val="00F000E0"/>
    <w:rsid w:val="00F006D1"/>
    <w:rsid w:val="00F044A2"/>
    <w:rsid w:val="00F1403A"/>
    <w:rsid w:val="00F1493B"/>
    <w:rsid w:val="00F160D5"/>
    <w:rsid w:val="00F17282"/>
    <w:rsid w:val="00F17E4A"/>
    <w:rsid w:val="00F20BCD"/>
    <w:rsid w:val="00F215A8"/>
    <w:rsid w:val="00F26F40"/>
    <w:rsid w:val="00F350CC"/>
    <w:rsid w:val="00F35609"/>
    <w:rsid w:val="00F36B79"/>
    <w:rsid w:val="00F36B7F"/>
    <w:rsid w:val="00F370AB"/>
    <w:rsid w:val="00F400AA"/>
    <w:rsid w:val="00F40B7B"/>
    <w:rsid w:val="00F46EFB"/>
    <w:rsid w:val="00F47EFB"/>
    <w:rsid w:val="00F6074E"/>
    <w:rsid w:val="00F61773"/>
    <w:rsid w:val="00F62646"/>
    <w:rsid w:val="00F667B1"/>
    <w:rsid w:val="00F6718D"/>
    <w:rsid w:val="00F71B41"/>
    <w:rsid w:val="00F747C7"/>
    <w:rsid w:val="00F814AB"/>
    <w:rsid w:val="00F82696"/>
    <w:rsid w:val="00F96871"/>
    <w:rsid w:val="00FA00F0"/>
    <w:rsid w:val="00FA0EED"/>
    <w:rsid w:val="00FA2287"/>
    <w:rsid w:val="00FA3D82"/>
    <w:rsid w:val="00FA4447"/>
    <w:rsid w:val="00FA62F0"/>
    <w:rsid w:val="00FA6B47"/>
    <w:rsid w:val="00FA6FF1"/>
    <w:rsid w:val="00FC157E"/>
    <w:rsid w:val="00FC321C"/>
    <w:rsid w:val="00FC5CA5"/>
    <w:rsid w:val="00FD21C1"/>
    <w:rsid w:val="00FD2F04"/>
    <w:rsid w:val="00FD78AF"/>
    <w:rsid w:val="00FE0616"/>
    <w:rsid w:val="00FE0A0B"/>
    <w:rsid w:val="00FE0A5C"/>
    <w:rsid w:val="00FE32A0"/>
    <w:rsid w:val="00FE499A"/>
    <w:rsid w:val="00FE4B5F"/>
    <w:rsid w:val="00FE5098"/>
    <w:rsid w:val="00FF3127"/>
    <w:rsid w:val="00FF4B13"/>
    <w:rsid w:val="00FF6466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0D6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NewRomanPSMT" w:eastAsiaTheme="minorEastAsia" w:hAnsi="TimesNewRomanPSMT" w:cs="TimesNewRomanPSMT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BD5D3D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120" w:line="360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D3D"/>
    <w:pPr>
      <w:keepNext/>
      <w:spacing w:before="360" w:after="90"/>
      <w:outlineLvl w:val="0"/>
    </w:pPr>
    <w:rPr>
      <w:rFonts w:ascii="Calibri" w:eastAsia="Times New Roman" w:hAnsi="Calibri" w:cs="Times New Roman"/>
      <w:b/>
      <w:bCs/>
      <w:kern w:val="32"/>
      <w:sz w:val="28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D3D"/>
    <w:pPr>
      <w:keepNext/>
      <w:spacing w:before="240" w:after="60"/>
      <w:outlineLvl w:val="1"/>
    </w:pPr>
    <w:rPr>
      <w:rFonts w:ascii="Calibri" w:eastAsia="Times New Roman" w:hAnsi="Calibri" w:cs="Times New Roman"/>
      <w:b/>
      <w:bCs/>
      <w:i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448"/>
    <w:pPr>
      <w:keepNext/>
      <w:spacing w:after="60"/>
      <w:outlineLvl w:val="2"/>
    </w:pPr>
    <w:rPr>
      <w:rFonts w:ascii="Calibri" w:eastAsia="Times New Roman" w:hAnsi="Calibri" w:cs="Times New Roman"/>
      <w:b/>
      <w:bCs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CB3"/>
    <w:pPr>
      <w:numPr>
        <w:numId w:val="30"/>
      </w:numPr>
      <w:spacing w:before="40"/>
      <w:ind w:left="568" w:hanging="284"/>
    </w:pPr>
  </w:style>
  <w:style w:type="character" w:customStyle="1" w:styleId="Heading1Char">
    <w:name w:val="Heading 1 Char"/>
    <w:link w:val="Heading1"/>
    <w:uiPriority w:val="9"/>
    <w:rsid w:val="00BD5D3D"/>
    <w:rPr>
      <w:rFonts w:ascii="Calibri" w:eastAsia="Times New Roman" w:hAnsi="Calibri" w:cs="Times New Roman"/>
      <w:b/>
      <w:bCs/>
      <w:kern w:val="32"/>
      <w:sz w:val="28"/>
      <w:szCs w:val="26"/>
    </w:rPr>
  </w:style>
  <w:style w:type="character" w:customStyle="1" w:styleId="Heading2Char">
    <w:name w:val="Heading 2 Char"/>
    <w:link w:val="Heading2"/>
    <w:uiPriority w:val="9"/>
    <w:rsid w:val="00BD5D3D"/>
    <w:rPr>
      <w:rFonts w:ascii="Calibri" w:eastAsia="Times New Roman" w:hAnsi="Calibri" w:cs="Times New Roman"/>
      <w:b/>
      <w:bCs/>
      <w:iCs/>
      <w:sz w:val="24"/>
      <w:szCs w:val="26"/>
    </w:rPr>
  </w:style>
  <w:style w:type="character" w:customStyle="1" w:styleId="Heading3Char">
    <w:name w:val="Heading 3 Char"/>
    <w:link w:val="Heading3"/>
    <w:uiPriority w:val="9"/>
    <w:rsid w:val="00500448"/>
    <w:rPr>
      <w:rFonts w:ascii="Calibri" w:eastAsia="Times New Roman" w:hAnsi="Calibri" w:cs="Times New Roman"/>
      <w:b/>
      <w:bCs/>
      <w:i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4C1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4C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49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9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9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9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99A"/>
    <w:rPr>
      <w:b/>
      <w:bCs/>
    </w:rPr>
  </w:style>
  <w:style w:type="paragraph" w:styleId="Revision">
    <w:name w:val="Revision"/>
    <w:hidden/>
    <w:uiPriority w:val="99"/>
    <w:semiHidden/>
    <w:rsid w:val="009B09DC"/>
    <w:rPr>
      <w:sz w:val="24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77A45"/>
    <w:pPr>
      <w:spacing w:before="0" w:line="240" w:lineRule="auto"/>
    </w:pPr>
    <w:rPr>
      <w:rFonts w:ascii="Times New Roman" w:hAnsi="Times New Roman"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7A45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12E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5826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</w:tabs>
      <w:autoSpaceDE/>
      <w:autoSpaceDN/>
      <w:adjustRightInd/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365FE2"/>
    <w:rPr>
      <w:color w:val="808080"/>
    </w:rPr>
  </w:style>
  <w:style w:type="paragraph" w:styleId="Title">
    <w:name w:val="Title"/>
    <w:basedOn w:val="Heading1"/>
    <w:next w:val="Normal"/>
    <w:link w:val="TitleChar"/>
    <w:uiPriority w:val="10"/>
    <w:qFormat/>
    <w:rsid w:val="00BD5D3D"/>
    <w:pPr>
      <w:spacing w:before="480" w:after="120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BD5D3D"/>
    <w:rPr>
      <w:rFonts w:ascii="Calibri" w:eastAsia="Times New Roman" w:hAnsi="Calibri" w:cs="Times New Roman"/>
      <w:b/>
      <w:bCs/>
      <w:kern w:val="32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A75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0A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40A75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A75"/>
    <w:rPr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440A75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A75"/>
    <w:rPr>
      <w:sz w:val="24"/>
      <w:szCs w:val="22"/>
    </w:rPr>
  </w:style>
  <w:style w:type="character" w:styleId="Hyperlink">
    <w:name w:val="Hyperlink"/>
    <w:basedOn w:val="DefaultParagraphFont"/>
    <w:uiPriority w:val="99"/>
    <w:unhideWhenUsed/>
    <w:rsid w:val="00AF4F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7BC5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500448"/>
    <w:pPr>
      <w:spacing w:before="0" w:line="240" w:lineRule="auto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00448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500448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B01E0F"/>
  </w:style>
  <w:style w:type="paragraph" w:customStyle="1" w:styleId="Jens">
    <w:name w:val="Jens"/>
    <w:basedOn w:val="Normal"/>
    <w:link w:val="JensChar"/>
    <w:uiPriority w:val="99"/>
    <w:qFormat/>
    <w:rsid w:val="003E7F88"/>
  </w:style>
  <w:style w:type="character" w:customStyle="1" w:styleId="JensChar">
    <w:name w:val="Jens Char"/>
    <w:basedOn w:val="DefaultParagraphFont"/>
    <w:link w:val="Jens"/>
    <w:uiPriority w:val="99"/>
    <w:rsid w:val="003E7F88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rsid w:val="00FE3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visionofbritain.org.uk/unit/10056925/cube/TOT_POP" TargetMode="External"/><Relationship Id="rId18" Type="http://schemas.openxmlformats.org/officeDocument/2006/relationships/hyperlink" Target="http://archive.org/details/citiesinciviliza00hal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oi.org/10.4324/9780203001257" TargetMode="External"/><Relationship Id="rId17" Type="http://schemas.openxmlformats.org/officeDocument/2006/relationships/hyperlink" Target="https://doi.org/10.1016/j.scs.2014.11.0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5255/UKDA-SN-852498" TargetMode="External"/><Relationship Id="rId20" Type="http://schemas.openxmlformats.org/officeDocument/2006/relationships/hyperlink" Target="https://doi.org/10.4324/978020397361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11/1467-9663.00233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ocalhistories.org/a-history-of-mancheste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reatermanchester-ca.gov.uk/what-we-do/research/research-demographics/census-2021-first-results/" TargetMode="External"/><Relationship Id="rId19" Type="http://schemas.openxmlformats.org/officeDocument/2006/relationships/hyperlink" Target="https://www.britannica.com/place/Manchester-England/Evolution-of-the-modern-cit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i.org/10.1177/016001769301500202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58D57B-2B14-9F44-84C4-D1F9319C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D_project</vt:lpstr>
    </vt:vector>
  </TitlesOfParts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D_project</dc:title>
  <dc:creator>Otello</dc:creator>
  <cp:lastModifiedBy>Yin, Xianlai</cp:lastModifiedBy>
  <cp:revision>24</cp:revision>
  <cp:lastPrinted>2022-11-07T11:55:00Z</cp:lastPrinted>
  <dcterms:created xsi:type="dcterms:W3CDTF">2020-10-04T19:35:00Z</dcterms:created>
  <dcterms:modified xsi:type="dcterms:W3CDTF">2022-11-07T11:55:00Z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GrammarlyDocumentId">
    <vt:lpwstr>516834031f3afcc55d9283e70c498256ae15b6fda08af6f63e38656c5d677443</vt:lpwstr>
  </property>
</Properties>
</file>