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【目的】评估供应商 USB 插入力是否稳定满足 0.5~2.0 Kgf 规格。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【作用】把"5次平均 1.2 Kgf，合格"升级为"Cpk=2.14，制程能力充足，不合格品率 &lt; 30 PPM"。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rPr>
          <w:rFonts w:ascii="微软雅黑" w:hAnsi="微软雅黑" w:eastAsia="微软雅黑"/>
          <w:sz w:val="20"/>
        </w:rPr>
        <w:t>单列=C1，规格下限=0.5，规格上限=2.0。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rPr>
          <w:rFonts w:ascii="微软雅黑" w:hAnsi="微软雅黑" w:eastAsia="微软雅黑"/>
          <w:sz w:val="19"/>
        </w:rP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387969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99091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B23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B3E0B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C0D9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EFF2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C4990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F49A5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D877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24338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4E6BC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DE71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1A890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</w:t>
      </w:r>
      <w:r>
        <w:rPr>
          <w:rFonts w:ascii="微软雅黑" w:hAnsi="微软雅黑" w:eastAsia="微软雅黑"/>
          <w:sz w:val="19"/>
          <w:lang w:val="en-US" w:eastAsia="zh-CN"/>
        </w:rPr>
        <w:t>2.56098</w:t>
      </w:r>
      <w:r>
        <w:rPr>
          <w:rFonts w:ascii="微软雅黑" w:hAnsi="微软雅黑" w:eastAsia="微软雅黑"/>
          <w:sz w:val="19"/>
        </w:rPr>
        <w:t>，B50=</w:t>
      </w:r>
      <w:r>
        <w:rPr>
          <w:rFonts w:hint="eastAsia" w:ascii="微软雅黑" w:hAnsi="微软雅黑" w:eastAsia="微软雅黑"/>
          <w:sz w:val="19"/>
        </w:rPr>
        <w:t xml:space="preserve">  6.99272</w:t>
      </w:r>
      <w:r>
        <w:rPr>
          <w:rFonts w:ascii="微软雅黑" w:hAnsi="微软雅黑" w:eastAsia="微软雅黑"/>
          <w:sz w:val="19"/>
        </w:rPr>
        <w:t>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  <w:r>
        <w:rPr>
          <w:rFonts w:ascii="微软雅黑" w:hAnsi="微软雅黑" w:eastAsia="微软雅黑"/>
          <w:sz w:val="19"/>
        </w:rPr>
        <w:br w:type="textWrapping"/>
      </w:r>
      <w:bookmarkStart w:id="0" w:name="_GoBack"/>
      <w:bookmarkEnd w:id="0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951865</wp:posOffset>
            </wp:positionV>
            <wp:extent cx="5513705" cy="2191385"/>
            <wp:effectExtent l="0" t="0" r="1270" b="8890"/>
            <wp:wrapSquare wrapText="bothSides"/>
            <wp:docPr id="10" name="图片 10" descr="img_v3_0213m_3dc5337a-9f53-454a-a05d-81cb5fd028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v3_0213m_3dc5337a-9f53-454a-a05d-81cb5fd0285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rPr>
          <w:rFonts w:ascii="微软雅黑" w:hAnsi="微软雅黑" w:eastAsia="微软雅黑"/>
          <w:sz w:val="19"/>
        </w:rPr>
        <w:t>Cpk 衡量过程能力——过程均值偏离规格中心多远、波动有多大。Cpk=1.33 是制造业通用门槛，对应：过程均值偏移 ±1.5σ 时，不合格品率 ≈ 63 PPM（百万分之 63）。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怎么理解：Cpk=1 意味着 3σ 范围刚好覆盖规格限的一半，不合格率约 0.27%；Cpk=1.33 意味着 4σ 范围，不合格率降到约 0.006%（63 PPM）；Cpk=1.67 则对应 5σ，不合格率约 0.6 PPM。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4F2FF09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1AF8D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F2963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33A30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9C039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CFA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A8B71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AE185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BC80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403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2DC89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13FF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CC7EA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874DB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A6D00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61F75B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09C28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A394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9A0C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E3EF3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7EB0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2A2E2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95CC9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16F73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B16BD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A0F3C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10DAE0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369E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6A36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3FEA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1A5A4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20C58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AAEE1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6FC3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EC40D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31998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E2F7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CFED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61CFB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rPr>
          <w:rFonts w:ascii="微软雅黑" w:hAnsi="微软雅黑" w:eastAsia="微软雅黑"/>
          <w:sz w:val="19"/>
        </w:rPr>
        <w:t>USL（Upper Specification Limit）= 规格上限，LSL（Lower Specification Limit）= 规格下限。它们是产品设计或客户要求决定的硬边界，不是统计算出来的。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 USL=2.0 Kgf（插太紧会损坏接口），LSL=0.5 Kgf（插太松会接触不良）。这两个值来自结构设计规范或客户 Spec，工程师不能随意改动。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Cpk 怎么算：同时看两端，取较小值。公式：Cpk = min[(均值-LSL)/(3×σ), (USL-均值)/(3×σ)]。如果只有单侧规格（如按键寿命只有下限），则只算那一侧。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注意：USL/LSL 与 UCL/LCL 不同。UCL/LCL 是控制图的控制限（统计算出来的），USL/LSL 是规格限（设计要求）。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