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C671" w14:textId="0A372A69" w:rsidR="00C10AA0" w:rsidRPr="00C10AA0" w:rsidRDefault="00C10AA0" w:rsidP="00C10AA0">
      <w:pPr>
        <w:pStyle w:val="Titre"/>
        <w:jc w:val="center"/>
        <w:rPr>
          <w:b/>
          <w:bCs/>
          <w:i/>
          <w:iCs/>
          <w:color w:val="EE0000"/>
          <w:u w:val="single"/>
        </w:rPr>
      </w:pPr>
      <w:r w:rsidRPr="00C10AA0">
        <w:rPr>
          <w:b/>
          <w:bCs/>
          <w:i/>
          <w:iCs/>
          <w:color w:val="EE0000"/>
          <w:u w:val="single"/>
        </w:rPr>
        <w:t>Documentation : Architecture et Responsivité</w:t>
      </w:r>
    </w:p>
    <w:sdt>
      <w:sdtPr>
        <w:id w:val="6722301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8E7B822" w14:textId="528CA813" w:rsidR="00C10AA0" w:rsidRDefault="00C10AA0">
          <w:pPr>
            <w:pStyle w:val="En-ttedetabledesmatires"/>
          </w:pPr>
          <w:r>
            <w:t>Table des matières</w:t>
          </w:r>
        </w:p>
        <w:p w14:paraId="02584B64" w14:textId="4AECBF83" w:rsidR="003F5D00" w:rsidRDefault="00C10AA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35451" w:history="1">
            <w:r w:rsidR="003F5D00" w:rsidRPr="00217C56">
              <w:rPr>
                <w:rStyle w:val="Lienhypertexte"/>
                <w:noProof/>
              </w:rPr>
              <w:t>Introduction :</w:t>
            </w:r>
            <w:r w:rsidR="003F5D00">
              <w:rPr>
                <w:noProof/>
                <w:webHidden/>
              </w:rPr>
              <w:tab/>
            </w:r>
            <w:r w:rsidR="003F5D00">
              <w:rPr>
                <w:noProof/>
                <w:webHidden/>
              </w:rPr>
              <w:fldChar w:fldCharType="begin"/>
            </w:r>
            <w:r w:rsidR="003F5D00">
              <w:rPr>
                <w:noProof/>
                <w:webHidden/>
              </w:rPr>
              <w:instrText xml:space="preserve"> PAGEREF _Toc227535451 \h </w:instrText>
            </w:r>
            <w:r w:rsidR="003F5D00">
              <w:rPr>
                <w:noProof/>
                <w:webHidden/>
              </w:rPr>
            </w:r>
            <w:r w:rsidR="003F5D00">
              <w:rPr>
                <w:noProof/>
                <w:webHidden/>
              </w:rPr>
              <w:fldChar w:fldCharType="separate"/>
            </w:r>
            <w:r w:rsidR="003F5D00">
              <w:rPr>
                <w:noProof/>
                <w:webHidden/>
              </w:rPr>
              <w:t>1</w:t>
            </w:r>
            <w:r w:rsidR="003F5D00">
              <w:rPr>
                <w:noProof/>
                <w:webHidden/>
              </w:rPr>
              <w:fldChar w:fldCharType="end"/>
            </w:r>
          </w:hyperlink>
        </w:p>
        <w:p w14:paraId="1050E3B8" w14:textId="68C5B477" w:rsidR="003F5D00" w:rsidRDefault="003F5D00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7535452" w:history="1">
            <w:r w:rsidRPr="00217C56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217C56">
              <w:rPr>
                <w:rStyle w:val="Lienhypertexte"/>
                <w:noProof/>
              </w:rPr>
              <w:t>Explication du Viewport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B9A7" w14:textId="08E2E47D" w:rsidR="003F5D00" w:rsidRDefault="003F5D00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7535453" w:history="1">
            <w:r w:rsidRPr="00217C56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217C56">
              <w:rPr>
                <w:rStyle w:val="Lienhypertexte"/>
                <w:noProof/>
              </w:rPr>
              <w:t>Utilisation de Flexbox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01CD" w14:textId="3AB6F57F" w:rsidR="003F5D00" w:rsidRDefault="003F5D00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7535454" w:history="1">
            <w:r w:rsidRPr="00217C56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217C56">
              <w:rPr>
                <w:rStyle w:val="Lienhypertexte"/>
                <w:noProof/>
              </w:rPr>
              <w:t>Utilisation de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EFE8" w14:textId="27E56BCE" w:rsidR="003F5D00" w:rsidRDefault="003F5D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7535455" w:history="1">
            <w:r w:rsidRPr="00217C56">
              <w:rPr>
                <w:rStyle w:val="Lienhypertexte"/>
                <w:noProof/>
              </w:rPr>
              <w:t>4. Media Queries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0A0B2" w14:textId="7DE06BE1" w:rsidR="003F5D00" w:rsidRDefault="003F5D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7535456" w:history="1">
            <w:r w:rsidRPr="00217C56">
              <w:rPr>
                <w:rStyle w:val="Lienhypertexte"/>
                <w:noProof/>
              </w:rPr>
              <w:t>5. Choix responsifs réalisés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E8E8" w14:textId="1F11D1F7" w:rsidR="00C10AA0" w:rsidRDefault="00C10AA0" w:rsidP="00C10AA0">
          <w:r>
            <w:rPr>
              <w:b/>
              <w:bCs/>
            </w:rPr>
            <w:fldChar w:fldCharType="end"/>
          </w:r>
        </w:p>
      </w:sdtContent>
    </w:sdt>
    <w:p w14:paraId="04562A1E" w14:textId="77777777" w:rsidR="003F5D00" w:rsidRDefault="003F5D00" w:rsidP="003F5D00">
      <w:pPr>
        <w:pStyle w:val="Titre1"/>
      </w:pPr>
      <w:bookmarkStart w:id="0" w:name="_Toc227535451"/>
      <w:r>
        <w:t>Introduction :</w:t>
      </w:r>
      <w:bookmarkEnd w:id="0"/>
    </w:p>
    <w:p w14:paraId="789A84A1" w14:textId="77777777" w:rsidR="003F5D00" w:rsidRDefault="003F5D00" w:rsidP="003F5D00">
      <w:r w:rsidRPr="009A309E">
        <w:t xml:space="preserve">Cette documentation détaille les standards de développement utilisés pour le projet </w:t>
      </w:r>
      <w:proofErr w:type="spellStart"/>
      <w:r w:rsidRPr="009A309E">
        <w:rPr>
          <w:b/>
          <w:bCs/>
        </w:rPr>
        <w:t>EventSphere</w:t>
      </w:r>
      <w:proofErr w:type="spellEnd"/>
      <w:r w:rsidRPr="009A309E">
        <w:t xml:space="preserve">. </w:t>
      </w:r>
    </w:p>
    <w:p w14:paraId="7D55CA16" w14:textId="3C548E99" w:rsidR="003F5D00" w:rsidRDefault="003F5D00" w:rsidP="003F5D00">
      <w:r w:rsidRPr="009A309E">
        <w:t xml:space="preserve">L'architecture repose sur une approche </w:t>
      </w:r>
      <w:r w:rsidRPr="009A309E">
        <w:rPr>
          <w:b/>
          <w:bCs/>
        </w:rPr>
        <w:t>Mobile-First</w:t>
      </w:r>
      <w:r w:rsidRPr="009A309E">
        <w:t>, garantissant une performance optimale et une expérience utilisateur fluide sur smartphone tout en s'adaptant progressivement aux écrans larges.</w:t>
      </w:r>
    </w:p>
    <w:p w14:paraId="72CCB583" w14:textId="44F81BF8" w:rsidR="00C10AA0" w:rsidRDefault="00C10AA0" w:rsidP="00C10AA0">
      <w:pPr>
        <w:pStyle w:val="Titre2"/>
        <w:numPr>
          <w:ilvl w:val="0"/>
          <w:numId w:val="1"/>
        </w:numPr>
      </w:pPr>
      <w:bookmarkStart w:id="1" w:name="_Toc227535452"/>
      <w:r w:rsidRPr="00C10AA0">
        <w:t xml:space="preserve">Explication du </w:t>
      </w:r>
      <w:proofErr w:type="spellStart"/>
      <w:r w:rsidRPr="00C10AA0">
        <w:t>Viewport</w:t>
      </w:r>
      <w:bookmarkEnd w:id="1"/>
      <w:proofErr w:type="spellEnd"/>
    </w:p>
    <w:p w14:paraId="2B9ABB91" w14:textId="77777777" w:rsidR="009A309E" w:rsidRPr="009A309E" w:rsidRDefault="009A309E" w:rsidP="009A309E">
      <w:r w:rsidRPr="009A309E">
        <w:t>La gestion de la fenêtre d'affichage (</w:t>
      </w:r>
      <w:proofErr w:type="spellStart"/>
      <w:r w:rsidRPr="009A309E">
        <w:t>viewport</w:t>
      </w:r>
      <w:proofErr w:type="spellEnd"/>
      <w:r w:rsidRPr="009A309E">
        <w:t xml:space="preserve">) est assurée par la balise </w:t>
      </w:r>
      <w:proofErr w:type="spellStart"/>
      <w:r w:rsidRPr="009A309E">
        <w:t>meta</w:t>
      </w:r>
      <w:proofErr w:type="spellEnd"/>
      <w:r w:rsidRPr="009A309E">
        <w:t xml:space="preserve"> suivante : &lt;</w:t>
      </w:r>
      <w:proofErr w:type="spellStart"/>
      <w:r w:rsidRPr="009A309E">
        <w:t>meta</w:t>
      </w:r>
      <w:proofErr w:type="spellEnd"/>
      <w:r w:rsidRPr="009A309E">
        <w:t xml:space="preserve"> </w:t>
      </w:r>
      <w:proofErr w:type="spellStart"/>
      <w:r w:rsidRPr="009A309E">
        <w:t>name</w:t>
      </w:r>
      <w:proofErr w:type="spellEnd"/>
      <w:r w:rsidRPr="009A309E">
        <w:t>="</w:t>
      </w:r>
      <w:proofErr w:type="spellStart"/>
      <w:r w:rsidRPr="009A309E">
        <w:t>viewport</w:t>
      </w:r>
      <w:proofErr w:type="spellEnd"/>
      <w:r w:rsidRPr="009A309E">
        <w:t>" content="</w:t>
      </w:r>
      <w:proofErr w:type="spellStart"/>
      <w:r w:rsidRPr="009A309E">
        <w:t>width</w:t>
      </w:r>
      <w:proofErr w:type="spellEnd"/>
      <w:r w:rsidRPr="009A309E">
        <w:t>=</w:t>
      </w:r>
      <w:proofErr w:type="spellStart"/>
      <w:r w:rsidRPr="009A309E">
        <w:t>device-width</w:t>
      </w:r>
      <w:proofErr w:type="spellEnd"/>
      <w:r w:rsidRPr="009A309E">
        <w:t>, initial-</w:t>
      </w:r>
      <w:proofErr w:type="spellStart"/>
      <w:r w:rsidRPr="009A309E">
        <w:t>scale</w:t>
      </w:r>
      <w:proofErr w:type="spellEnd"/>
      <w:r w:rsidRPr="009A309E">
        <w:t>=1.0"&gt;</w:t>
      </w:r>
    </w:p>
    <w:p w14:paraId="6A1A6D09" w14:textId="77777777" w:rsidR="009A309E" w:rsidRPr="009A309E" w:rsidRDefault="009A309E" w:rsidP="009A309E">
      <w:pPr>
        <w:numPr>
          <w:ilvl w:val="0"/>
          <w:numId w:val="6"/>
        </w:numPr>
      </w:pPr>
      <w:proofErr w:type="spellStart"/>
      <w:proofErr w:type="gramStart"/>
      <w:r w:rsidRPr="009A309E">
        <w:rPr>
          <w:b/>
          <w:bCs/>
        </w:rPr>
        <w:t>width</w:t>
      </w:r>
      <w:proofErr w:type="spellEnd"/>
      <w:proofErr w:type="gramEnd"/>
      <w:r w:rsidRPr="009A309E">
        <w:rPr>
          <w:b/>
          <w:bCs/>
        </w:rPr>
        <w:t>=</w:t>
      </w:r>
      <w:proofErr w:type="spellStart"/>
      <w:r w:rsidRPr="009A309E">
        <w:rPr>
          <w:b/>
          <w:bCs/>
        </w:rPr>
        <w:t>device-width</w:t>
      </w:r>
      <w:proofErr w:type="spellEnd"/>
      <w:r w:rsidRPr="009A309E">
        <w:t xml:space="preserve"> : Indique au navigateur que la largeur du site doit correspondre à la largeur réelle de l'appareil. Cela empêche les navigateurs mobiles de simuler une largeur d'écran de bureau (généralement 980px).</w:t>
      </w:r>
    </w:p>
    <w:p w14:paraId="12D5D76D" w14:textId="77777777" w:rsidR="009A309E" w:rsidRPr="009A309E" w:rsidRDefault="009A309E" w:rsidP="009A309E">
      <w:pPr>
        <w:numPr>
          <w:ilvl w:val="0"/>
          <w:numId w:val="6"/>
        </w:numPr>
      </w:pPr>
      <w:proofErr w:type="gramStart"/>
      <w:r w:rsidRPr="009A309E">
        <w:rPr>
          <w:b/>
          <w:bCs/>
        </w:rPr>
        <w:t>initial</w:t>
      </w:r>
      <w:proofErr w:type="gramEnd"/>
      <w:r w:rsidRPr="009A309E">
        <w:rPr>
          <w:b/>
          <w:bCs/>
        </w:rPr>
        <w:t>-</w:t>
      </w:r>
      <w:proofErr w:type="spellStart"/>
      <w:r w:rsidRPr="009A309E">
        <w:rPr>
          <w:b/>
          <w:bCs/>
        </w:rPr>
        <w:t>scale</w:t>
      </w:r>
      <w:proofErr w:type="spellEnd"/>
      <w:r w:rsidRPr="009A309E">
        <w:rPr>
          <w:b/>
          <w:bCs/>
        </w:rPr>
        <w:t>=1.0</w:t>
      </w:r>
      <w:r w:rsidRPr="009A309E">
        <w:t xml:space="preserve"> : Fixe le zoom initial.</w:t>
      </w:r>
    </w:p>
    <w:p w14:paraId="7A6D3388" w14:textId="46B988B1" w:rsidR="009A309E" w:rsidRPr="009A309E" w:rsidRDefault="009A309E" w:rsidP="009A309E">
      <w:pPr>
        <w:numPr>
          <w:ilvl w:val="0"/>
          <w:numId w:val="6"/>
        </w:numPr>
      </w:pPr>
      <w:r w:rsidRPr="009A309E">
        <w:rPr>
          <w:b/>
          <w:bCs/>
        </w:rPr>
        <w:t>Impact</w:t>
      </w:r>
      <w:r w:rsidRPr="009A309E">
        <w:t xml:space="preserve"> : Cette balise est le socle de la responsivité. Sans elle, les Media </w:t>
      </w:r>
      <w:proofErr w:type="spellStart"/>
      <w:r w:rsidRPr="009A309E">
        <w:t>Queries</w:t>
      </w:r>
      <w:proofErr w:type="spellEnd"/>
      <w:r w:rsidRPr="009A309E">
        <w:t xml:space="preserve"> ne pourraient pas détecter correctement la taille de l'écran et le design ne s'adapterait pas.</w:t>
      </w:r>
    </w:p>
    <w:p w14:paraId="633F2BDB" w14:textId="09826035" w:rsidR="009A309E" w:rsidRPr="003F5D00" w:rsidRDefault="009A309E" w:rsidP="003F5D00">
      <w:pPr>
        <w:pStyle w:val="Titre2"/>
        <w:numPr>
          <w:ilvl w:val="0"/>
          <w:numId w:val="1"/>
        </w:numPr>
      </w:pPr>
      <w:bookmarkStart w:id="2" w:name="_Toc227535453"/>
      <w:r w:rsidRPr="003F5D00">
        <w:t xml:space="preserve">Utilisation de </w:t>
      </w:r>
      <w:proofErr w:type="spellStart"/>
      <w:r w:rsidRPr="003F5D00">
        <w:t>Flexbox</w:t>
      </w:r>
      <w:bookmarkEnd w:id="2"/>
      <w:proofErr w:type="spellEnd"/>
    </w:p>
    <w:p w14:paraId="396FEAD4" w14:textId="77777777" w:rsidR="009A309E" w:rsidRPr="003F5D00" w:rsidRDefault="009A309E" w:rsidP="009A309E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spellStart"/>
      <w:r w:rsidRPr="003F5D0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Flexbox</w:t>
      </w:r>
      <w:proofErr w:type="spellEnd"/>
      <w:r w:rsidRPr="003F5D0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 été choisi pour la gestion des alignements unidimensionnels (sur un seul axe). Il est utilisé pour :</w:t>
      </w:r>
    </w:p>
    <w:p w14:paraId="15909C23" w14:textId="77777777" w:rsidR="009A309E" w:rsidRPr="009A309E" w:rsidRDefault="009A309E" w:rsidP="009A309E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La structure globale (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body</w:t>
      </w:r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) :</w:t>
      </w:r>
      <w:r w:rsidRPr="009A309E">
        <w:rPr>
          <w:rFonts w:asciiTheme="majorHAnsi" w:hAnsiTheme="majorHAnsi"/>
        </w:rPr>
        <w:t xml:space="preserve"> 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Utilisation de display: 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flex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et 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flex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-direction: 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column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pour organiser l'en-tête, le contenu principal (main) et le pied de page. Cela permet </w:t>
      </w:r>
      <w:proofErr w:type="gram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au main</w:t>
      </w:r>
      <w:proofErr w:type="gram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 s'étendre (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flex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: 1) pour pousser le 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footer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en bas de page.</w:t>
      </w:r>
    </w:p>
    <w:p w14:paraId="67C2AB60" w14:textId="77777777" w:rsidR="009A309E" w:rsidRPr="009A309E" w:rsidRDefault="009A309E" w:rsidP="009A309E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L'en-tête (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.header</w:t>
      </w:r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) :</w:t>
      </w:r>
      <w:r w:rsidRPr="009A309E">
        <w:rPr>
          <w:rFonts w:asciiTheme="majorHAnsi" w:hAnsiTheme="majorHAnsi"/>
        </w:rPr>
        <w:t xml:space="preserve"> 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Pour aligner horizontalement le logo et la navigation tout en gérant l'espace entre eux via 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justify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-content: 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space-between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323578B6" w14:textId="77777777" w:rsidR="009A309E" w:rsidRPr="009A309E" w:rsidRDefault="009A309E" w:rsidP="009A309E">
      <w:pPr>
        <w:pStyle w:val="NormalWeb"/>
        <w:numPr>
          <w:ilvl w:val="0"/>
          <w:numId w:val="8"/>
        </w:numPr>
        <w:rPr>
          <w:rFonts w:asciiTheme="majorHAnsi" w:hAnsiTheme="majorHAnsi"/>
        </w:rPr>
      </w:pPr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La navigation et les filtres : 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Utilisation de gap pour créer un espacement régulier entre les boutons et les liens, évitant ainsi l'usage de marges manuelles complexes.</w:t>
      </w:r>
    </w:p>
    <w:p w14:paraId="08520751" w14:textId="0049B8AE" w:rsidR="00C10AA0" w:rsidRDefault="009A309E" w:rsidP="00C10AA0">
      <w:pPr>
        <w:pStyle w:val="Titre2"/>
        <w:numPr>
          <w:ilvl w:val="0"/>
          <w:numId w:val="1"/>
        </w:numPr>
      </w:pPr>
      <w:bookmarkStart w:id="3" w:name="_Toc227535454"/>
      <w:r>
        <w:t xml:space="preserve">Utilisation de </w:t>
      </w:r>
      <w:proofErr w:type="spellStart"/>
      <w:r>
        <w:t>Grid</w:t>
      </w:r>
      <w:bookmarkEnd w:id="3"/>
      <w:proofErr w:type="spellEnd"/>
    </w:p>
    <w:p w14:paraId="722D157A" w14:textId="4887F81D" w:rsidR="009A309E" w:rsidRPr="009A309E" w:rsidRDefault="009A309E" w:rsidP="009A309E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Le module 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Grid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est employé pour les structures bidimensionnelles complexes. Son usage suit la logique Mobile-First :</w:t>
      </w:r>
    </w:p>
    <w:p w14:paraId="469DE0C2" w14:textId="77777777" w:rsidR="009A309E" w:rsidRPr="009A309E" w:rsidRDefault="009A309E" w:rsidP="009A309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Grille d'événements (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event-grid</w:t>
      </w:r>
      <w:proofErr w:type="spellEnd"/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) 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: Par défaut, la grille possède une seule colonne. Sur les écrans larges, elle passe à trois colonnes égales via 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repeat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(3, 1fr).</w:t>
      </w:r>
    </w:p>
    <w:p w14:paraId="31C43AA2" w14:textId="77777777" w:rsidR="009A309E" w:rsidRPr="009A309E" w:rsidRDefault="009A309E" w:rsidP="009A309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Page Contact (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.contact-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grid</w:t>
      </w:r>
      <w:proofErr w:type="spellEnd"/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) :</w:t>
      </w:r>
      <w:r w:rsidRPr="009A309E">
        <w:rPr>
          <w:rFonts w:asciiTheme="majorHAnsi" w:hAnsiTheme="majorHAnsi"/>
        </w:rPr>
        <w:t xml:space="preserve"> 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Définit l'organisation entre les informations de contact et le formulaire. L'empilement est vertical sur mobile et passe en deux colonnes sur desktop.</w:t>
      </w:r>
    </w:p>
    <w:p w14:paraId="2153B2AA" w14:textId="2E98B6D4" w:rsidR="009A309E" w:rsidRPr="009A309E" w:rsidRDefault="009A309E" w:rsidP="009A309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Formulaires (</w:t>
      </w:r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form-row</w:t>
      </w:r>
      <w:proofErr w:type="spellEnd"/>
      <w:r w:rsidRPr="009A309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) :</w:t>
      </w:r>
      <w:r w:rsidRPr="009A309E">
        <w:rPr>
          <w:rFonts w:asciiTheme="majorHAnsi" w:hAnsiTheme="majorHAnsi"/>
        </w:rPr>
        <w:t xml:space="preserve"> </w:t>
      </w:r>
      <w:proofErr w:type="spellStart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Grid</w:t>
      </w:r>
      <w:proofErr w:type="spellEnd"/>
      <w:r w:rsidRPr="009A30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permet de gérer l'alignement des champs "Prénom" et "Nom". Sur mobile, ils occupent chacun une ligne entière pour maximiser la surface de saisie.</w:t>
      </w:r>
    </w:p>
    <w:p w14:paraId="6CAC4792" w14:textId="7EB29801" w:rsidR="00C10AA0" w:rsidRPr="00C10AA0" w:rsidRDefault="00C10AA0" w:rsidP="00C10AA0">
      <w:pPr>
        <w:pStyle w:val="Titre2"/>
      </w:pPr>
      <w:bookmarkStart w:id="4" w:name="_Toc227535455"/>
      <w:r w:rsidRPr="00C10AA0">
        <w:t xml:space="preserve">4. Media </w:t>
      </w:r>
      <w:proofErr w:type="spellStart"/>
      <w:r w:rsidRPr="00C10AA0">
        <w:t>Queries</w:t>
      </w:r>
      <w:proofErr w:type="spellEnd"/>
      <w:r w:rsidRPr="00C10AA0">
        <w:t xml:space="preserve"> utilisées</w:t>
      </w:r>
      <w:bookmarkEnd w:id="4"/>
    </w:p>
    <w:p w14:paraId="4958E5C7" w14:textId="77777777" w:rsidR="003F5D00" w:rsidRPr="003F5D00" w:rsidRDefault="003F5D00" w:rsidP="003F5D00">
      <w:r w:rsidRPr="003F5D00">
        <w:t xml:space="preserve">Le projet utilise exclusivement des Media </w:t>
      </w:r>
      <w:proofErr w:type="spellStart"/>
      <w:r w:rsidRPr="003F5D00">
        <w:t>Queries</w:t>
      </w:r>
      <w:proofErr w:type="spellEnd"/>
      <w:r w:rsidRPr="003F5D00">
        <w:t xml:space="preserve"> de type </w:t>
      </w:r>
      <w:r w:rsidRPr="003F5D00">
        <w:rPr>
          <w:b/>
          <w:bCs/>
        </w:rPr>
        <w:t>min-</w:t>
      </w:r>
      <w:proofErr w:type="spellStart"/>
      <w:r w:rsidRPr="003F5D00">
        <w:rPr>
          <w:b/>
          <w:bCs/>
        </w:rPr>
        <w:t>width</w:t>
      </w:r>
      <w:proofErr w:type="spellEnd"/>
      <w:r w:rsidRPr="003F5D00">
        <w:t xml:space="preserve">. Cela signifie que le code situé en dehors des Media </w:t>
      </w:r>
      <w:proofErr w:type="spellStart"/>
      <w:r w:rsidRPr="003F5D00">
        <w:t>Queries</w:t>
      </w:r>
      <w:proofErr w:type="spellEnd"/>
      <w:r w:rsidRPr="003F5D00">
        <w:t xml:space="preserve"> est celui destiné aux mobiles. Les règles spécifiques aux grands écrans ne sont "activées" qu'à partir d'un certain seuil.</w:t>
      </w:r>
    </w:p>
    <w:p w14:paraId="7273F27C" w14:textId="77777777" w:rsidR="003F5D00" w:rsidRPr="003F5D00" w:rsidRDefault="003F5D00" w:rsidP="003F5D00">
      <w:pPr>
        <w:numPr>
          <w:ilvl w:val="0"/>
          <w:numId w:val="10"/>
        </w:numPr>
      </w:pPr>
      <w:r w:rsidRPr="003F5D00">
        <w:rPr>
          <w:b/>
          <w:bCs/>
        </w:rPr>
        <w:t>Code de base</w:t>
      </w:r>
      <w:r w:rsidRPr="003F5D00">
        <w:t xml:space="preserve"> : Styles pour écrans inférieurs à 768px (Mobile).</w:t>
      </w:r>
    </w:p>
    <w:p w14:paraId="652A6E2A" w14:textId="77777777" w:rsidR="003F5D00" w:rsidRPr="003F5D00" w:rsidRDefault="003F5D00" w:rsidP="003F5D00">
      <w:pPr>
        <w:numPr>
          <w:ilvl w:val="0"/>
          <w:numId w:val="10"/>
        </w:numPr>
      </w:pPr>
      <w:r w:rsidRPr="003F5D00">
        <w:rPr>
          <w:b/>
          <w:bCs/>
        </w:rPr>
        <w:t>@media (min-</w:t>
      </w:r>
      <w:proofErr w:type="spellStart"/>
      <w:r w:rsidRPr="003F5D00">
        <w:rPr>
          <w:b/>
          <w:bCs/>
        </w:rPr>
        <w:t>width</w:t>
      </w:r>
      <w:proofErr w:type="spellEnd"/>
      <w:r w:rsidRPr="003F5D00">
        <w:rPr>
          <w:b/>
          <w:bCs/>
        </w:rPr>
        <w:t>: 768px)</w:t>
      </w:r>
      <w:r w:rsidRPr="003F5D00">
        <w:t xml:space="preserve"> : Seuil pour les tablettes et ordinateurs. C'est ici que les grilles passent de 1 à 2 ou 3 colonnes et que la navigation principale devient visible.</w:t>
      </w:r>
    </w:p>
    <w:p w14:paraId="27D1297C" w14:textId="77777777" w:rsidR="003F5D00" w:rsidRPr="003F5D00" w:rsidRDefault="003F5D00" w:rsidP="003F5D00">
      <w:pPr>
        <w:numPr>
          <w:ilvl w:val="0"/>
          <w:numId w:val="10"/>
        </w:numPr>
      </w:pPr>
      <w:r w:rsidRPr="003F5D00">
        <w:rPr>
          <w:b/>
          <w:bCs/>
        </w:rPr>
        <w:t>@media (</w:t>
      </w:r>
      <w:proofErr w:type="spellStart"/>
      <w:r w:rsidRPr="003F5D00">
        <w:rPr>
          <w:b/>
          <w:bCs/>
        </w:rPr>
        <w:t>prefers-color-scheme</w:t>
      </w:r>
      <w:proofErr w:type="spellEnd"/>
      <w:r w:rsidRPr="003F5D00">
        <w:rPr>
          <w:b/>
          <w:bCs/>
        </w:rPr>
        <w:t xml:space="preserve">: </w:t>
      </w:r>
      <w:proofErr w:type="spellStart"/>
      <w:r w:rsidRPr="003F5D00">
        <w:rPr>
          <w:b/>
          <w:bCs/>
        </w:rPr>
        <w:t>dark</w:t>
      </w:r>
      <w:proofErr w:type="spellEnd"/>
      <w:r w:rsidRPr="003F5D00">
        <w:rPr>
          <w:b/>
          <w:bCs/>
        </w:rPr>
        <w:t>)</w:t>
      </w:r>
      <w:r w:rsidRPr="003F5D00">
        <w:t xml:space="preserve"> : Media Query dédiée à l'accessibilité système. Elle permet d'adapter automatiquement le thème visuel (couleurs de fond et de texte) si l'utilisateur a activé le mode sombre sur son appareil.</w:t>
      </w:r>
    </w:p>
    <w:p w14:paraId="58D3F295" w14:textId="77777777" w:rsidR="003F5D00" w:rsidRPr="003F5D00" w:rsidRDefault="003F5D00" w:rsidP="003F5D00">
      <w:pPr>
        <w:pStyle w:val="Titre2"/>
      </w:pPr>
      <w:bookmarkStart w:id="5" w:name="_Toc227535456"/>
      <w:r w:rsidRPr="003F5D00">
        <w:t>5. Choix responsifs réalisés</w:t>
      </w:r>
      <w:bookmarkEnd w:id="5"/>
    </w:p>
    <w:p w14:paraId="560E2B26" w14:textId="77777777" w:rsidR="003F5D00" w:rsidRPr="003F5D00" w:rsidRDefault="003F5D00" w:rsidP="003F5D00">
      <w:r w:rsidRPr="003F5D00">
        <w:t>Pour assurer une interface cohérente, les choix suivants ont été opérés :</w:t>
      </w:r>
    </w:p>
    <w:p w14:paraId="789A35A8" w14:textId="77777777" w:rsidR="003F5D00" w:rsidRPr="003F5D00" w:rsidRDefault="003F5D00" w:rsidP="003F5D00">
      <w:pPr>
        <w:numPr>
          <w:ilvl w:val="0"/>
          <w:numId w:val="11"/>
        </w:numPr>
      </w:pPr>
      <w:r w:rsidRPr="003F5D00">
        <w:rPr>
          <w:b/>
          <w:bCs/>
        </w:rPr>
        <w:t>Navigation adaptative</w:t>
      </w:r>
      <w:r w:rsidRPr="003F5D00">
        <w:t xml:space="preserve"> : Sur mobile, la navigation classique est masquée pour laisser place à une interface épurée (prévue pour un menu burger), évitant ainsi l'encombrement visuel.</w:t>
      </w:r>
    </w:p>
    <w:p w14:paraId="4F095A9A" w14:textId="77777777" w:rsidR="003F5D00" w:rsidRPr="003F5D00" w:rsidRDefault="003F5D00" w:rsidP="003F5D00">
      <w:pPr>
        <w:numPr>
          <w:ilvl w:val="0"/>
          <w:numId w:val="11"/>
        </w:numPr>
      </w:pPr>
      <w:r w:rsidRPr="003F5D00">
        <w:rPr>
          <w:b/>
          <w:bCs/>
        </w:rPr>
        <w:lastRenderedPageBreak/>
        <w:t>Unités relatives (</w:t>
      </w:r>
      <w:proofErr w:type="spellStart"/>
      <w:r w:rsidRPr="003F5D00">
        <w:rPr>
          <w:b/>
          <w:bCs/>
        </w:rPr>
        <w:t>rem et</w:t>
      </w:r>
      <w:proofErr w:type="spellEnd"/>
      <w:r w:rsidRPr="003F5D00">
        <w:rPr>
          <w:b/>
          <w:bCs/>
        </w:rPr>
        <w:t xml:space="preserve"> %)</w:t>
      </w:r>
      <w:r w:rsidRPr="003F5D00">
        <w:t xml:space="preserve"> : Les tailles de police et les espacements utilisent le rem. Cela garantit que si l'utilisateur modifie la taille du texte dans ses paramètres d'accessibilité, tout le site s'ajustera proportionnellement.</w:t>
      </w:r>
    </w:p>
    <w:p w14:paraId="34E5A76E" w14:textId="77777777" w:rsidR="003F5D00" w:rsidRPr="003F5D00" w:rsidRDefault="003F5D00" w:rsidP="003F5D00">
      <w:pPr>
        <w:numPr>
          <w:ilvl w:val="0"/>
          <w:numId w:val="11"/>
        </w:numPr>
      </w:pPr>
      <w:r w:rsidRPr="003F5D00">
        <w:rPr>
          <w:b/>
          <w:bCs/>
        </w:rPr>
        <w:t>Conteneur main indépendant</w:t>
      </w:r>
      <w:r w:rsidRPr="003F5D00">
        <w:t xml:space="preserve"> : Le défilement est géré au niveau du conteneur &lt;main&gt; grâce à </w:t>
      </w:r>
      <w:proofErr w:type="spellStart"/>
      <w:r w:rsidRPr="003F5D00">
        <w:t>overflow</w:t>
      </w:r>
      <w:proofErr w:type="spellEnd"/>
      <w:r w:rsidRPr="003F5D00">
        <w:t xml:space="preserve">-y: auto. Cela permet de garder le header et le </w:t>
      </w:r>
      <w:proofErr w:type="spellStart"/>
      <w:r w:rsidRPr="003F5D00">
        <w:t>footer</w:t>
      </w:r>
      <w:proofErr w:type="spellEnd"/>
      <w:r w:rsidRPr="003F5D00">
        <w:t xml:space="preserve"> fixes, offrant une navigation plus intuitive sur smartphone.</w:t>
      </w:r>
    </w:p>
    <w:p w14:paraId="6954E67F" w14:textId="77777777" w:rsidR="003F5D00" w:rsidRPr="003F5D00" w:rsidRDefault="003F5D00" w:rsidP="003F5D00">
      <w:pPr>
        <w:numPr>
          <w:ilvl w:val="0"/>
          <w:numId w:val="11"/>
        </w:numPr>
      </w:pPr>
      <w:r w:rsidRPr="003F5D00">
        <w:rPr>
          <w:b/>
          <w:bCs/>
        </w:rPr>
        <w:t>Images fluides</w:t>
      </w:r>
      <w:r w:rsidRPr="003F5D00">
        <w:t xml:space="preserve"> : Les images utilisent </w:t>
      </w:r>
      <w:proofErr w:type="spellStart"/>
      <w:r w:rsidRPr="003F5D00">
        <w:t>object</w:t>
      </w:r>
      <w:proofErr w:type="spellEnd"/>
      <w:r w:rsidRPr="003F5D00">
        <w:t>-fit: cover pour s'adapter à leurs conteneurs sans être écrasées ou étirées, peu importe le redimensionnement de la fenêtre.</w:t>
      </w:r>
    </w:p>
    <w:p w14:paraId="23B37F11" w14:textId="77777777" w:rsidR="00C10AA0" w:rsidRPr="00C10AA0" w:rsidRDefault="00C10AA0" w:rsidP="00C10AA0"/>
    <w:sectPr w:rsidR="00C10AA0" w:rsidRPr="00C10AA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E423" w14:textId="77777777" w:rsidR="00006456" w:rsidRDefault="00006456" w:rsidP="003F5D00">
      <w:pPr>
        <w:spacing w:after="0" w:line="240" w:lineRule="auto"/>
      </w:pPr>
      <w:r>
        <w:separator/>
      </w:r>
    </w:p>
  </w:endnote>
  <w:endnote w:type="continuationSeparator" w:id="0">
    <w:p w14:paraId="013C146E" w14:textId="77777777" w:rsidR="00006456" w:rsidRDefault="00006456" w:rsidP="003F5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ED57C" w14:textId="77777777" w:rsidR="003F5D00" w:rsidRDefault="003F5D00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0E247E25" w14:textId="77777777" w:rsidR="003F5D00" w:rsidRDefault="003F5D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1AD8F" w14:textId="77777777" w:rsidR="00006456" w:rsidRDefault="00006456" w:rsidP="003F5D00">
      <w:pPr>
        <w:spacing w:after="0" w:line="240" w:lineRule="auto"/>
      </w:pPr>
      <w:r>
        <w:separator/>
      </w:r>
    </w:p>
  </w:footnote>
  <w:footnote w:type="continuationSeparator" w:id="0">
    <w:p w14:paraId="22587CF3" w14:textId="77777777" w:rsidR="00006456" w:rsidRDefault="00006456" w:rsidP="003F5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3358A" w14:textId="62908E68" w:rsidR="003F5D00" w:rsidRDefault="003F5D00">
    <w:pPr>
      <w:pStyle w:val="En-tte"/>
    </w:pPr>
    <w:r>
      <w:t>YNOV CAMPUS CASABLANCA</w:t>
    </w:r>
    <w:r>
      <w:tab/>
    </w:r>
    <w:r w:rsidR="00FE1B72">
      <w:tab/>
    </w:r>
    <w:r>
      <w:t>ELEVE B2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2DA"/>
    <w:multiLevelType w:val="multilevel"/>
    <w:tmpl w:val="005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21EB"/>
    <w:multiLevelType w:val="hybridMultilevel"/>
    <w:tmpl w:val="A58A23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F0045"/>
    <w:multiLevelType w:val="multilevel"/>
    <w:tmpl w:val="0B1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D220A"/>
    <w:multiLevelType w:val="multilevel"/>
    <w:tmpl w:val="127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8748C"/>
    <w:multiLevelType w:val="multilevel"/>
    <w:tmpl w:val="F2E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F3872"/>
    <w:multiLevelType w:val="multilevel"/>
    <w:tmpl w:val="4D5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941B3"/>
    <w:multiLevelType w:val="multilevel"/>
    <w:tmpl w:val="5DE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F05B6"/>
    <w:multiLevelType w:val="multilevel"/>
    <w:tmpl w:val="85C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23805"/>
    <w:multiLevelType w:val="hybridMultilevel"/>
    <w:tmpl w:val="01DCB6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8018B"/>
    <w:multiLevelType w:val="multilevel"/>
    <w:tmpl w:val="A33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C5EE3"/>
    <w:multiLevelType w:val="multilevel"/>
    <w:tmpl w:val="C702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564602">
    <w:abstractNumId w:val="1"/>
  </w:num>
  <w:num w:numId="2" w16cid:durableId="154492569">
    <w:abstractNumId w:val="0"/>
  </w:num>
  <w:num w:numId="3" w16cid:durableId="1370952241">
    <w:abstractNumId w:val="3"/>
  </w:num>
  <w:num w:numId="4" w16cid:durableId="804087074">
    <w:abstractNumId w:val="7"/>
  </w:num>
  <w:num w:numId="5" w16cid:durableId="1923683984">
    <w:abstractNumId w:val="4"/>
  </w:num>
  <w:num w:numId="6" w16cid:durableId="2143382616">
    <w:abstractNumId w:val="5"/>
  </w:num>
  <w:num w:numId="7" w16cid:durableId="924999111">
    <w:abstractNumId w:val="2"/>
  </w:num>
  <w:num w:numId="8" w16cid:durableId="1364020128">
    <w:abstractNumId w:val="8"/>
  </w:num>
  <w:num w:numId="9" w16cid:durableId="661743289">
    <w:abstractNumId w:val="6"/>
  </w:num>
  <w:num w:numId="10" w16cid:durableId="456073831">
    <w:abstractNumId w:val="10"/>
  </w:num>
  <w:num w:numId="11" w16cid:durableId="212064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A0"/>
    <w:rsid w:val="00006456"/>
    <w:rsid w:val="001C36C8"/>
    <w:rsid w:val="003E4A13"/>
    <w:rsid w:val="003F5D00"/>
    <w:rsid w:val="008D6FA0"/>
    <w:rsid w:val="009A309E"/>
    <w:rsid w:val="00C10AA0"/>
    <w:rsid w:val="00FE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A10FC"/>
  <w15:chartTrackingRefBased/>
  <w15:docId w15:val="{BF810590-6524-4707-AF81-3FC3BC0A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1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0A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0A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0A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0A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0A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0A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0A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0A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0A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0A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0AA0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10AA0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10A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10AA0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C10AA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A3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9A309E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F5D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5D00"/>
  </w:style>
  <w:style w:type="paragraph" w:styleId="Pieddepage">
    <w:name w:val="footer"/>
    <w:basedOn w:val="Normal"/>
    <w:link w:val="PieddepageCar"/>
    <w:uiPriority w:val="99"/>
    <w:unhideWhenUsed/>
    <w:rsid w:val="003F5D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5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80896-1592-484E-A947-A447B8EB7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702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Manel OUTALEB – B2</dc:title>
  <dc:subject/>
  <dc:creator>Lee Palefire</dc:creator>
  <cp:keywords/>
  <dc:description/>
  <cp:lastModifiedBy>Lee Palefire</cp:lastModifiedBy>
  <cp:revision>2</cp:revision>
  <dcterms:created xsi:type="dcterms:W3CDTF">2026-04-19T23:03:00Z</dcterms:created>
  <dcterms:modified xsi:type="dcterms:W3CDTF">2026-04-19T23:03:00Z</dcterms:modified>
</cp:coreProperties>
</file>