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Tr</w:t>
      </w:r>
      <w:r>
        <w:rPr>
          <w:rFonts w:hint="default"/>
          <w:lang w:eastAsia="zh-Hans"/>
        </w:rPr>
        <w:t>anslate the following sentences.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Now that chatbots are going the way of Google—moving from the miraculous to the taken-for-granted—the anxiety has shifted, too, from apocalypse to atrophy.</w:t>
      </w:r>
      <w:r>
        <w:rPr>
          <w:rFonts w:hint="eastAsia"/>
          <w:lang w:val="en-US" w:eastAsia="zh-CN"/>
        </w:rPr>
        <w:t xml:space="preserve"> (passage 1)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而现在，随着聊天机器人正走上谷歌走过的老路——从“令人惊叹的神迹”变成“理所当然的日常”——人们的焦虑也随之发生了转移：从对“世界末日（apocalypse）”的恐惧，转向了对“心智萎缩（atrophy）”的担忧。</w:t>
      </w:r>
    </w:p>
    <w:p>
      <w:pPr>
        <w:numPr>
          <w:ilvl w:val="0"/>
          <w:numId w:val="0"/>
        </w:numPr>
        <w:rPr>
          <w:rFonts w:hint="eastAsia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 w:eastAsia="宋体"/>
        </w:rPr>
        <w:t>Knowledge, once imagined as a possession, has become a relation—a matter of how well we can locate, interpret, and synthesize what others know.</w:t>
      </w:r>
      <w:r>
        <w:rPr>
          <w:rFonts w:hint="eastAsia"/>
          <w:lang w:val="en-US" w:eastAsia="zh-CN"/>
        </w:rPr>
        <w:t>(passage 1)</w:t>
      </w:r>
    </w:p>
    <w:p>
      <w:pPr>
        <w:numPr>
          <w:ilvl w:val="0"/>
          <w:numId w:val="0"/>
        </w:numPr>
        <w:rPr>
          <w:rFonts w:hint="eastAsia" w:eastAsia="宋体"/>
        </w:rPr>
      </w:pPr>
      <w:r>
        <w:rPr>
          <w:rFonts w:hint="eastAsia" w:eastAsia="宋体"/>
        </w:rPr>
        <w:t>知识曾经被想象为一种“占有物”，如今却更像一种“关系”——关键在于我们能否有效地定位、解读并综合他人所掌握的知识。</w:t>
      </w:r>
    </w:p>
    <w:p>
      <w:pPr>
        <w:numPr>
          <w:ilvl w:val="0"/>
          <w:numId w:val="0"/>
        </w:numPr>
        <w:rPr>
          <w:rFonts w:hint="eastAsia" w:eastAsia="宋体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宋体"/>
        </w:rPr>
      </w:pPr>
      <w:r>
        <w:rPr>
          <w:rFonts w:hint="eastAsia" w:eastAsia="宋体"/>
        </w:rPr>
        <w:t>When the stakes are real, skilled human agents have to remain accountable for the call—noticing when the model has drifted from reality, and treating its output as a hypothesis to test, not an answer to obey.</w:t>
      </w:r>
      <w:r>
        <w:rPr>
          <w:rFonts w:hint="eastAsia"/>
        </w:rPr>
        <w:t> </w:t>
      </w:r>
      <w:r>
        <w:rPr>
          <w:rFonts w:hint="eastAsia"/>
          <w:lang w:val="en-US" w:eastAsia="zh-CN"/>
        </w:rPr>
        <w:t>(passage 1)</w:t>
      </w:r>
    </w:p>
    <w:p>
      <w:pPr>
        <w:numPr>
          <w:ilvl w:val="0"/>
          <w:numId w:val="0"/>
        </w:numPr>
        <w:rPr>
          <w:rFonts w:hint="eastAsia" w:eastAsia="宋体"/>
        </w:rPr>
      </w:pPr>
      <w:r>
        <w:rPr>
          <w:rFonts w:hint="eastAsia" w:eastAsia="宋体"/>
        </w:rPr>
        <w:t>当利害攸关时，具备专业能力的人类必须对最终判断负责——要能察觉模型何时偏离现实，并把它的输出当作需要检验的假设，而不是必须服从的答案。</w:t>
      </w:r>
    </w:p>
    <w:p>
      <w:pPr>
        <w:numPr>
          <w:ilvl w:val="0"/>
          <w:numId w:val="0"/>
        </w:numPr>
        <w:rPr>
          <w:rFonts w:hint="eastAsia" w:eastAsia="宋体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宋体"/>
        </w:rPr>
      </w:pPr>
      <w:r>
        <w:rPr>
          <w:rFonts w:hint="eastAsia" w:eastAsia="宋体"/>
        </w:rPr>
        <w:t>Because higher detection rates mean fewer missed cancers, this ‘centaur’ approach was plainly beneficial, regardless of whether individual clinicians became fractionally less sharp.</w:t>
      </w:r>
      <w:r>
        <w:rPr>
          <w:rFonts w:hint="eastAsia"/>
        </w:rPr>
        <w:t> </w:t>
      </w:r>
      <w:r>
        <w:rPr>
          <w:rFonts w:hint="eastAsia"/>
          <w:lang w:val="en-US" w:eastAsia="zh-CN"/>
        </w:rPr>
        <w:t>(passage 1)</w:t>
      </w:r>
    </w:p>
    <w:p>
      <w:pPr>
        <w:numPr>
          <w:numId w:val="0"/>
        </w:numPr>
        <w:ind w:leftChars="0"/>
        <w:rPr>
          <w:rFonts w:hint="eastAsia" w:eastAsia="宋体"/>
        </w:rPr>
      </w:pPr>
      <w:r>
        <w:rPr>
          <w:rFonts w:hint="eastAsia" w:eastAsia="宋体"/>
        </w:rPr>
        <w:t>由于更高的检出率意味着更少漏诊癌症，这种“半人马式”的人机协作显然是有益的，哪怕个别临床医生的敏锐度略有下降。</w:t>
      </w:r>
    </w:p>
    <w:p>
      <w:pPr>
        <w:numPr>
          <w:numId w:val="0"/>
        </w:numPr>
        <w:ind w:leftChars="0"/>
        <w:rPr>
          <w:rFonts w:hint="eastAsia" w:eastAsia="宋体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宋体"/>
        </w:rPr>
      </w:pPr>
      <w:r>
        <w:rPr>
          <w:rFonts w:hint="eastAsia" w:eastAsia="宋体"/>
        </w:rPr>
        <w:t>Without understanding the nuance of these questions, leaders risk advancing short-sighted solutions to today’s most pressing technology problems and may be pursuing flawed strategies in the long game of geopolitics.</w:t>
      </w:r>
      <w:r>
        <w:rPr>
          <w:rFonts w:hint="eastAsia"/>
        </w:rPr>
        <w:t> </w:t>
      </w:r>
      <w:r>
        <w:rPr>
          <w:rFonts w:hint="eastAsia"/>
          <w:lang w:val="en-US" w:eastAsia="zh-CN"/>
        </w:rPr>
        <w:t>(passage 2)</w:t>
      </w:r>
    </w:p>
    <w:p>
      <w:pPr>
        <w:numPr>
          <w:numId w:val="0"/>
        </w:numPr>
        <w:ind w:leftChars="0"/>
        <w:rPr>
          <w:rFonts w:hint="eastAsia" w:eastAsia="宋体"/>
        </w:rPr>
      </w:pPr>
      <w:r>
        <w:rPr>
          <w:rFonts w:hint="eastAsia" w:eastAsia="宋体"/>
        </w:rPr>
        <w:t>如果不能理解这些问题中的细微差别，决策者就可能推动针对当下最紧迫技术问题的短视性解决方案，并在长期地缘政治博弈中采取有缺陷的战略。</w:t>
      </w:r>
    </w:p>
    <w:p>
      <w:pPr>
        <w:numPr>
          <w:numId w:val="0"/>
        </w:numPr>
        <w:ind w:leftChars="0"/>
        <w:rPr>
          <w:rFonts w:hint="eastAsia" w:eastAsia="宋体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宋体"/>
        </w:rPr>
      </w:pPr>
      <w:r>
        <w:rPr>
          <w:rFonts w:hint="eastAsia" w:eastAsia="宋体"/>
        </w:rPr>
        <w:t>Meanwhile, China’s centralized political system, focused on control, is prioritizing AI diffusion, from driverless cars and the internet of things, to consumer applications and robots.</w:t>
      </w:r>
      <w:r>
        <w:rPr>
          <w:rFonts w:hint="eastAsia"/>
        </w:rPr>
        <w:t> </w:t>
      </w:r>
      <w:r>
        <w:rPr>
          <w:rFonts w:hint="eastAsia"/>
          <w:lang w:val="en-US" w:eastAsia="zh-CN"/>
        </w:rPr>
        <w:t>(passage 2)</w:t>
      </w:r>
    </w:p>
    <w:p>
      <w:pPr>
        <w:numPr>
          <w:numId w:val="0"/>
        </w:numPr>
        <w:ind w:leftChars="0"/>
        <w:rPr>
          <w:rFonts w:hint="eastAsia" w:eastAsia="宋体"/>
        </w:rPr>
      </w:pPr>
      <w:r>
        <w:rPr>
          <w:rFonts w:hint="eastAsia" w:eastAsia="宋体"/>
        </w:rPr>
        <w:t>与此同时，中国这种强调控制的中央集权政治体制，正把人工智能的大规模扩散应用置于优先位置，其范围从无人驾驶汽车、物联网一直延伸到消费级应用和机器人。</w:t>
      </w:r>
    </w:p>
    <w:p>
      <w:pPr>
        <w:numPr>
          <w:numId w:val="0"/>
        </w:numPr>
        <w:ind w:leftChars="0"/>
        <w:rPr>
          <w:rFonts w:hint="eastAsia" w:eastAsia="宋体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宋体"/>
        </w:rPr>
      </w:pPr>
      <w:r>
        <w:rPr>
          <w:rFonts w:hint="eastAsia" w:eastAsia="宋体"/>
        </w:rPr>
        <w:t>While the White House’s AI Action Plan prioritizes promoting America’s AI industry and building “vastly more energy generation,” state and local rules can impede federal plans.</w:t>
      </w:r>
      <w:r>
        <w:rPr>
          <w:rFonts w:hint="eastAsia"/>
        </w:rPr>
        <w:t> </w:t>
      </w:r>
      <w:r>
        <w:rPr>
          <w:rFonts w:hint="eastAsia"/>
          <w:lang w:val="en-US" w:eastAsia="zh-CN"/>
        </w:rPr>
        <w:t>(passage 2)</w:t>
      </w:r>
      <w:bookmarkStart w:id="0" w:name="_GoBack"/>
      <w:bookmarkEnd w:id="0"/>
      <w:r>
        <w:rPr>
          <w:rFonts w:hint="eastAsia" w:eastAsia="宋体"/>
        </w:rPr>
        <w:t>尽管白宫的《人工智能行动计划》把推动美国人工智能产业发展以及建设“更大规模的能源供给”列为优先事项，但州和地方层面的规则仍可能阻碍联邦计划的实施。</w:t>
      </w:r>
    </w:p>
    <w:p>
      <w:pPr>
        <w:numPr>
          <w:numId w:val="0"/>
        </w:numPr>
        <w:ind w:leftChars="0"/>
        <w:rPr>
          <w:rFonts w:hint="eastAsia" w:eastAsia="宋体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No matter how heated the AI races between the U.S. and China may be, AI is a global industry with global supply chains, and no country can become entirely self-reliant.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 </w:t>
      </w:r>
      <w:r>
        <w:rPr>
          <w:rFonts w:hint="eastAsia"/>
          <w:lang w:val="en-US" w:eastAsia="zh-CN"/>
        </w:rPr>
        <w:t>(passage 2)</w:t>
      </w:r>
    </w:p>
    <w:p>
      <w:pPr>
        <w:numPr>
          <w:numId w:val="0"/>
        </w:numPr>
        <w:ind w:left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无论中美之间的人工智能竞争多么激烈，AI 仍然是一个拥有全球供应链的全球性产业，而且任何国家都不可能实现完全自给自足。</w:t>
      </w:r>
    </w:p>
    <w:p>
      <w:pPr>
        <w:numPr>
          <w:ilvl w:val="0"/>
          <w:numId w:val="0"/>
        </w:numPr>
        <w:rPr>
          <w:rFonts w:hint="eastAsia" w:eastAsia="宋体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73FC19"/>
    <w:multiLevelType w:val="singleLevel"/>
    <w:tmpl w:val="F873FC1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60BC"/>
    <w:rsid w:val="16AF4389"/>
    <w:rsid w:val="2C6858D2"/>
    <w:rsid w:val="3E7F7A48"/>
    <w:rsid w:val="78B3A516"/>
    <w:rsid w:val="FF9F279D"/>
    <w:rsid w:val="FFDF5E94"/>
    <w:rsid w:val="FFEB2113"/>
    <w:rsid w:val="FFFB0ADB"/>
    <w:rsid w:val="FFFF60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Office_11.8.2.12118_F1E327BC-269C-435d-A152-05C5408002CA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2023-02-23T10:42:00Z</dcterms:created>
  <dc:creator>青白一生</dc:creator>
  <cp:lastModifiedBy>任芳</cp:lastModifiedBy>
  <dcterms:modified xsi:type="dcterms:W3CDTF">2026-04-30T12:40:38Z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2052-11.8.2.12118</vt:lpwstr>
  </property>
  <property fmtid="{D5CDD505-2E9C-101B-9397-08002B2CF9AE}" pid="3" name="ICV">
    <vt:lpwstr>00D4DC7C504B417688A2572E40012E1C</vt:lpwstr>
  </property>
</Properties>
</file>