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eastAsia="zh-Hans"/>
        </w:rPr>
      </w:pPr>
      <w:r>
        <w:rPr>
          <w:rFonts w:hint="eastAsia"/>
          <w:lang w:val="en-US" w:eastAsia="zh-Hans"/>
        </w:rPr>
        <w:t>Tr</w:t>
      </w:r>
      <w:r>
        <w:rPr>
          <w:rFonts w:hint="default"/>
          <w:lang w:eastAsia="zh-Hans"/>
        </w:rPr>
        <w:t>anslate the following sentences.</w:t>
      </w:r>
    </w:p>
    <w:p>
      <w:pPr>
        <w:numPr>
          <w:ilvl w:val="0"/>
          <w:numId w:val="1"/>
        </w:numPr>
        <w:rPr>
          <w:rFonts w:hint="eastAsia"/>
        </w:rPr>
      </w:pPr>
      <w:r>
        <w:rPr>
          <w:rFonts w:hint="eastAsia"/>
        </w:rPr>
        <w:t>Boston Consulting Group (BCG), a management consultancy, foresees quantum computers improving the operating income of their users by between $450bn and $850bn a year by 2050.Unfortunately, big, stable quantum computers do not yet exist. But small, ornery, unstable ones do.  （passage1-para 4)</w:t>
      </w:r>
    </w:p>
    <w:p>
      <w:pPr>
        <w:numPr>
          <w:numId w:val="0"/>
        </w:numPr>
        <w:rPr>
          <w:rFonts w:hint="eastAsia"/>
        </w:rPr>
      </w:pPr>
      <w:r>
        <w:rPr>
          <w:rFonts w:hint="eastAsia"/>
        </w:rPr>
        <w:t>据管理咨询公司波士顿咨询集团(BCG)预测，到2050年，量子计算机每年</w:t>
      </w:r>
      <w:r>
        <w:rPr>
          <w:rFonts w:hint="eastAsia"/>
          <w:lang w:val="en-US" w:eastAsia="zh-CN"/>
        </w:rPr>
        <w:t>会</w:t>
      </w:r>
      <w:r>
        <w:rPr>
          <w:rFonts w:hint="eastAsia"/>
        </w:rPr>
        <w:t>将用户的运营收入</w:t>
      </w:r>
      <w:r>
        <w:rPr>
          <w:rFonts w:hint="eastAsia"/>
          <w:lang w:val="en-US" w:eastAsia="zh-CN"/>
        </w:rPr>
        <w:t>提高</w:t>
      </w:r>
      <w:r>
        <w:rPr>
          <w:rFonts w:hint="eastAsia"/>
        </w:rPr>
        <w:t>4500亿~8500亿美元。遗憾的是，大型、稳定的量子计算机目前尚未面世。不过，小型、“劣质”又不太稳定的量子计算机已经存在。 </w:t>
      </w:r>
    </w:p>
    <w:p>
      <w:pPr>
        <w:numPr>
          <w:ilvl w:val="0"/>
          <w:numId w:val="0"/>
        </w:numPr>
        <w:rPr>
          <w:rFonts w:hint="eastAsia"/>
        </w:rPr>
      </w:pPr>
    </w:p>
    <w:p>
      <w:pPr>
        <w:numPr>
          <w:ilvl w:val="0"/>
          <w:numId w:val="1"/>
        </w:numPr>
        <w:rPr>
          <w:rFonts w:hint="eastAsia" w:eastAsia="宋体"/>
        </w:rPr>
      </w:pPr>
      <w:r>
        <w:rPr>
          <w:rFonts w:hint="eastAsia" w:eastAsia="宋体"/>
        </w:rPr>
        <w:t xml:space="preserve">These firms are hunting for "quantum advantage"—a way in which even today's limited machines might have an impact on their bottom lines, or those of their customers. （passage1-para </w:t>
      </w:r>
      <w:r>
        <w:rPr>
          <w:rFonts w:hint="default" w:eastAsia="宋体"/>
        </w:rPr>
        <w:t>7</w:t>
      </w:r>
      <w:r>
        <w:rPr>
          <w:rFonts w:hint="eastAsia" w:eastAsia="宋体"/>
        </w:rPr>
        <w:t>)</w:t>
      </w:r>
    </w:p>
    <w:p>
      <w:pPr>
        <w:numPr>
          <w:numId w:val="0"/>
        </w:numPr>
        <w:rPr>
          <w:rFonts w:hint="eastAsia" w:eastAsia="宋体"/>
        </w:rPr>
      </w:pPr>
      <w:r>
        <w:rPr>
          <w:rFonts w:hint="eastAsia" w:eastAsia="宋体"/>
        </w:rPr>
        <w:t>这些公司追求的便是“量子优势”—— 利用该优势，即便是当今那些作用有限的（量子）计算机也能对这些公司或是其客户的盈亏底线产生一定影响。 </w:t>
      </w:r>
    </w:p>
    <w:p>
      <w:pPr>
        <w:numPr>
          <w:ilvl w:val="0"/>
          <w:numId w:val="1"/>
        </w:numPr>
        <w:rPr>
          <w:rFonts w:ascii="微软雅黑" w:hAnsi="微软雅黑" w:eastAsia="微软雅黑" w:cs="宋体"/>
          <w:color w:val="333333"/>
          <w:spacing w:val="8"/>
          <w:kern w:val="0"/>
          <w:sz w:val="26"/>
          <w:szCs w:val="26"/>
        </w:rPr>
      </w:pPr>
      <w:r>
        <w:rPr>
          <w:rFonts w:hint="eastAsia" w:eastAsia="宋体"/>
        </w:rPr>
        <w:t>Doug Finke, a physicist who runs the Quantum Computing Report, which focuses on the nascent industry, is aware of 87 organisations, big and small, trying to construct quantum computers. Unlike classical computing, which had settled by the 1970s on silicon transistors as the units of computation, there is, as yet, no consensus on the best way to build a quantum computer. </w:t>
      </w:r>
      <w:r>
        <w:rPr>
          <w:rFonts w:hint="eastAsia"/>
        </w:rPr>
        <w:t xml:space="preserve">（passage1-para </w:t>
      </w:r>
      <w:r>
        <w:rPr>
          <w:rFonts w:hint="default"/>
        </w:rPr>
        <w:t>10</w:t>
      </w:r>
      <w:r>
        <w:rPr>
          <w:rFonts w:hint="eastAsia"/>
        </w:rPr>
        <w:t>)</w:t>
      </w:r>
    </w:p>
    <w:p>
      <w:pPr>
        <w:numPr>
          <w:numId w:val="0"/>
        </w:numPr>
        <w:rPr>
          <w:rFonts w:ascii="微软雅黑" w:hAnsi="微软雅黑" w:eastAsia="微软雅黑" w:cs="宋体"/>
          <w:color w:val="333333"/>
          <w:spacing w:val="8"/>
          <w:kern w:val="0"/>
          <w:sz w:val="26"/>
          <w:szCs w:val="26"/>
        </w:rPr>
      </w:pPr>
      <w:r>
        <w:rPr>
          <w:rFonts w:hint="eastAsia"/>
        </w:rPr>
        <w:t>道格·芬克是物理学家兼《量子计算报告》创刊人——该刊物重点关注量子计算这一新兴行业动态。 据他了解，有87</w:t>
      </w:r>
      <w:r>
        <w:rPr>
          <w:rFonts w:hint="eastAsia"/>
          <w:lang w:val="en-US" w:eastAsia="zh-CN"/>
        </w:rPr>
        <w:t>家</w:t>
      </w:r>
      <w:r>
        <w:rPr>
          <w:rFonts w:hint="eastAsia"/>
        </w:rPr>
        <w:t>大大小小的机构都在着手构建量子计算机。</w:t>
      </w:r>
      <w:r>
        <w:rPr>
          <w:rFonts w:hint="eastAsia"/>
          <w:lang w:val="en-US" w:eastAsia="zh-CN"/>
        </w:rPr>
        <w:t>传统</w:t>
      </w:r>
      <w:r>
        <w:rPr>
          <w:rFonts w:hint="eastAsia"/>
        </w:rPr>
        <w:t>计算在20世纪70年代就已经确定了硅晶体管作为计算单元，但与之不同的是， 到目前为止，人们</w:t>
      </w:r>
      <w:r>
        <w:rPr>
          <w:rFonts w:hint="eastAsia"/>
          <w:lang w:val="en-US" w:eastAsia="zh-CN"/>
        </w:rPr>
        <w:t>尚未</w:t>
      </w:r>
      <w:r>
        <w:rPr>
          <w:rFonts w:hint="eastAsia"/>
        </w:rPr>
        <w:t>对构建量子计算机的最佳方式达成共识。</w:t>
      </w:r>
    </w:p>
    <w:p>
      <w:pPr>
        <w:numPr>
          <w:ilvl w:val="0"/>
          <w:numId w:val="1"/>
        </w:numPr>
        <w:rPr>
          <w:rFonts w:hint="eastAsia" w:eastAsia="宋体"/>
        </w:rPr>
      </w:pPr>
      <w:r>
        <w:rPr>
          <w:rFonts w:hint="eastAsia" w:eastAsia="宋体"/>
        </w:rPr>
        <w:t xml:space="preserve">Rather than have hardware-makers come up with useful algorithms, the hope is that existing businesses, by being given access to the machines in this way, will invent such algorithms for themselves.（passage1-para </w:t>
      </w:r>
      <w:r>
        <w:rPr>
          <w:rFonts w:hint="default" w:eastAsia="宋体"/>
        </w:rPr>
        <w:t>16</w:t>
      </w:r>
      <w:r>
        <w:rPr>
          <w:rFonts w:hint="eastAsia" w:eastAsia="宋体"/>
        </w:rPr>
        <w:t>)</w:t>
      </w:r>
    </w:p>
    <w:p>
      <w:pPr>
        <w:numPr>
          <w:numId w:val="0"/>
        </w:numPr>
        <w:rPr>
          <w:rFonts w:hint="eastAsia" w:eastAsia="宋体"/>
        </w:rPr>
      </w:pPr>
      <w:r>
        <w:rPr>
          <w:rFonts w:hint="eastAsia" w:eastAsia="宋体"/>
        </w:rPr>
        <w:t xml:space="preserve">相比让硬件制造商提出有用的算法， </w:t>
      </w:r>
      <w:r>
        <w:rPr>
          <w:rFonts w:hint="eastAsia"/>
          <w:lang w:eastAsia="zh-CN"/>
        </w:rPr>
        <w:t>（</w:t>
      </w:r>
      <w:r>
        <w:rPr>
          <w:rFonts w:hint="eastAsia" w:eastAsia="宋体"/>
        </w:rPr>
        <w:t>微软和亚马逊</w:t>
      </w:r>
      <w:r>
        <w:rPr>
          <w:rFonts w:hint="eastAsia"/>
          <w:lang w:eastAsia="zh-CN"/>
        </w:rPr>
        <w:t>）</w:t>
      </w:r>
      <w:r>
        <w:rPr>
          <w:rFonts w:hint="eastAsia" w:eastAsia="宋体"/>
        </w:rPr>
        <w:t>选择了寄希望于现有企业，提供给这些企业权限使其能够使用量子计算机，从而让这些企业</w:t>
      </w:r>
      <w:r>
        <w:rPr>
          <w:rFonts w:hint="eastAsia"/>
          <w:lang w:val="en-US" w:eastAsia="zh-CN"/>
        </w:rPr>
        <w:t>自主</w:t>
      </w:r>
      <w:r>
        <w:rPr>
          <w:rFonts w:hint="eastAsia" w:eastAsia="宋体"/>
        </w:rPr>
        <w:t>开发这类算法。 </w:t>
      </w:r>
    </w:p>
    <w:p>
      <w:pPr>
        <w:numPr>
          <w:ilvl w:val="0"/>
          <w:numId w:val="0"/>
        </w:numPr>
        <w:rPr>
          <w:rFonts w:hint="eastAsia" w:eastAsia="宋体"/>
        </w:rPr>
      </w:pPr>
    </w:p>
    <w:p>
      <w:pPr>
        <w:numPr>
          <w:ilvl w:val="0"/>
          <w:numId w:val="1"/>
        </w:numPr>
        <w:rPr>
          <w:rFonts w:hint="eastAsia" w:eastAsia="宋体"/>
        </w:rPr>
      </w:pPr>
      <w:r>
        <w:rPr>
          <w:rFonts w:hint="eastAsia" w:eastAsia="宋体"/>
        </w:rPr>
        <w:t xml:space="preserve">The big question is what all this is leading up to. Despite the excitement, the industry's commercial pioneers have their work cut out for them. There is plenty of promise, but, as yet, no certainty. Finding algorithms that are both commercially useful and simple enough to work within a NISQ machine's limitations is not easy. （passage1-para </w:t>
      </w:r>
      <w:r>
        <w:rPr>
          <w:rFonts w:hint="default" w:eastAsia="宋体"/>
        </w:rPr>
        <w:t>19</w:t>
      </w:r>
      <w:r>
        <w:rPr>
          <w:rFonts w:hint="eastAsia" w:eastAsia="宋体"/>
        </w:rPr>
        <w:t>)</w:t>
      </w:r>
    </w:p>
    <w:p>
      <w:pPr>
        <w:numPr>
          <w:numId w:val="0"/>
        </w:numPr>
        <w:rPr>
          <w:rFonts w:hint="eastAsia" w:eastAsia="宋体"/>
        </w:rPr>
      </w:pPr>
      <w:r>
        <w:rPr>
          <w:rFonts w:hint="eastAsia" w:eastAsia="宋体"/>
        </w:rPr>
        <w:t>最关键的问题是：这一切努力最终的归宿是什么。 尽管前景令人期待，该行业的商业先驱们依然还有很多工作要做。 未来充满了希望，但就目前来看，没有一种希望是确定无疑、板上钉钉的。要探索出既有商业用途，又能在NISQ机器的各种局限性下实现简单操作的算法并不容易</w:t>
      </w:r>
    </w:p>
    <w:p>
      <w:pPr>
        <w:numPr>
          <w:ilvl w:val="0"/>
          <w:numId w:val="1"/>
        </w:numPr>
        <w:rPr>
          <w:rFonts w:hint="eastAsia"/>
        </w:rPr>
      </w:pPr>
      <w:r>
        <w:rPr>
          <w:rFonts w:hint="eastAsia"/>
        </w:rPr>
        <w:t>A report published last year by America's National Academy of Sciences reminded readers that no commercial applications are currently known to exist.The first step, then, is to go looking. (passage1-para 20)</w:t>
      </w:r>
    </w:p>
    <w:p>
      <w:pPr>
        <w:numPr>
          <w:numId w:val="0"/>
        </w:numPr>
        <w:rPr>
          <w:rFonts w:hint="eastAsia"/>
        </w:rPr>
      </w:pPr>
      <w:r>
        <w:rPr>
          <w:rFonts w:hint="eastAsia"/>
        </w:rPr>
        <w:t>美国国家科学院去年发表的一份报告提醒读者，这类算法目前尚不具备商业用途。 那么，如今的第一步就是去寻找（商机）。</w:t>
      </w:r>
    </w:p>
    <w:p>
      <w:pPr>
        <w:numPr>
          <w:ilvl w:val="0"/>
          <w:numId w:val="1"/>
        </w:numPr>
        <w:rPr>
          <w:rFonts w:hint="eastAsia"/>
        </w:rPr>
      </w:pPr>
      <w:r>
        <w:rPr>
          <w:rFonts w:hint="eastAsia"/>
        </w:rPr>
        <w:t>The industry has been cheered by Google's demonstration last year of "quantum supremacy", in which it used a NISQ machine to perform, with minutes of computing time, a calculation that would have taken thousands of years on classical hardware. Google's calculation was highly contrived and of little use in the real world. But it proved a point.(passage1-para 21)</w:t>
      </w:r>
    </w:p>
    <w:p>
      <w:pPr>
        <w:numPr>
          <w:numId w:val="0"/>
        </w:numPr>
        <w:rPr>
          <w:rFonts w:hint="eastAsia"/>
        </w:rPr>
      </w:pPr>
      <w:r>
        <w:rPr>
          <w:rFonts w:hint="eastAsia"/>
        </w:rPr>
        <w:t>去年，谷歌展示的“量子（计算）的优越性”令业界欢欣鼓舞， 在演示中，谷歌利用一台NISQ机器，只用了几分钟的计算时间， 就实现了一项传统硬件需要数千年才能完成的运算。尽管谷歌的运算人为痕迹较重，且在现实生活中并无多大用处， 但至少证明了一点——即量子计算机的优越性。</w:t>
      </w:r>
    </w:p>
    <w:p>
      <w:pPr>
        <w:numPr>
          <w:ilvl w:val="0"/>
          <w:numId w:val="1"/>
        </w:numPr>
        <w:rPr>
          <w:rFonts w:hint="eastAsia"/>
        </w:rPr>
      </w:pPr>
      <w:r>
        <w:rPr>
          <w:rFonts w:hint="eastAsia"/>
        </w:rPr>
        <w:t>Unlike most of its peripatetic predecessors, though, ByteDance has built its empire by making products that appeal beyond China. It is China's first global software giant. It has also courted foreign investors. （passage 2-para 9)</w:t>
      </w:r>
    </w:p>
    <w:p>
      <w:pPr>
        <w:numPr>
          <w:numId w:val="0"/>
        </w:numPr>
        <w:rPr>
          <w:rFonts w:hint="eastAsia"/>
        </w:rPr>
      </w:pPr>
      <w:r>
        <w:rPr>
          <w:rFonts w:hint="eastAsia"/>
        </w:rPr>
        <w:t xml:space="preserve">不过，与多数四处投资/收购的前辈企业不同，字节跳动帝国的创立，靠的是打造能吸引外国消费者的产品。它是中国第一家全球性软件巨头，同时还吸引了外国投资者的青睐。  </w:t>
      </w:r>
    </w:p>
    <w:p>
      <w:pPr>
        <w:numPr>
          <w:ilvl w:val="0"/>
          <w:numId w:val="0"/>
        </w:numPr>
        <w:rPr>
          <w:rFonts w:hint="eastAsia"/>
        </w:rPr>
      </w:pPr>
    </w:p>
    <w:p>
      <w:pPr>
        <w:numPr>
          <w:ilvl w:val="0"/>
          <w:numId w:val="1"/>
        </w:numPr>
        <w:rPr>
          <w:rFonts w:hint="eastAsia"/>
        </w:rPr>
      </w:pPr>
      <w:r>
        <w:rPr>
          <w:rFonts w:hint="eastAsia"/>
        </w:rPr>
        <w:t>In statements, TikTok has said that it stores all American “user data in the United States” and that its American operations are “not influenced by any foreign government, including the Chinese government”. The firm is trying to mollify critics and has hired prominent security and legal experts in America to help it. (passage 2-para 18)TikTok在声明中表示，它将所有美国用户数据都存储在美国，其美国业务“不受包括中国政府在内的任何外国政府的影响”。该公司正试图安抚批评人士，并聘请了美国著名的安全和法律专家来帮助它。</w:t>
      </w:r>
    </w:p>
    <w:p>
      <w:pPr>
        <w:numPr>
          <w:ilvl w:val="0"/>
          <w:numId w:val="0"/>
        </w:numPr>
        <w:rPr>
          <w:rFonts w:hint="eastAsia"/>
        </w:rPr>
      </w:pPr>
    </w:p>
    <w:p>
      <w:pPr>
        <w:numPr>
          <w:ilvl w:val="0"/>
          <w:numId w:val="1"/>
        </w:numPr>
        <w:rPr>
          <w:rFonts w:hint="eastAsia"/>
        </w:rPr>
      </w:pPr>
      <w:r>
        <w:rPr>
          <w:rFonts w:hint="eastAsia"/>
        </w:rPr>
        <w:t>That, most lawyers and technologists reckon, may help get CFIUS off its back. Listing ByteDance in Hong Kong, which is under consideration, may also foster trust. So would anointing a non-Chinese successor—though, at 37, Mr Zhang may not be ready to retire. (passage 2-para 20)</w:t>
      </w:r>
    </w:p>
    <w:p>
      <w:pPr>
        <w:numPr>
          <w:numId w:val="0"/>
        </w:numPr>
        <w:rPr>
          <w:rFonts w:hint="eastAsia"/>
        </w:rPr>
      </w:pPr>
      <w:bookmarkStart w:id="0" w:name="_GoBack"/>
      <w:bookmarkEnd w:id="0"/>
      <w:r>
        <w:rPr>
          <w:rFonts w:hint="eastAsia"/>
        </w:rPr>
        <w:t>大多数律师和技术专家认为，这可能会帮助字节跳动远离/摆脱美国外国投资委员会(CFIUS)的审查。字节跳动正考虑在香港上市，这也许可以增进投资者的信心。任命一位非中国籍的继任者也是如此——尽管37岁的张一鸣先生可能还没有准备好退休。</w:t>
      </w:r>
    </w:p>
    <w:p>
      <w:pPr>
        <w:numPr>
          <w:ilvl w:val="0"/>
          <w:numId w:val="0"/>
        </w:num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00"/>
    <w:family w:val="swiss"/>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627854"/>
    <w:multiLevelType w:val="singleLevel"/>
    <w:tmpl w:val="EB62785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75"/>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F60BC"/>
    <w:rsid w:val="3E7F7A48"/>
    <w:rsid w:val="78B3A516"/>
    <w:rsid w:val="FF9F279D"/>
    <w:rsid w:val="FFDF5E94"/>
    <w:rsid w:val="FFEB2113"/>
    <w:rsid w:val="FFFB0ADB"/>
    <w:rsid w:val="FFFF60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2023-02-23T10:42:00Z</dcterms:created>
  <dc:creator>青白一生</dc:creator>
  <cp:lastModifiedBy>青白一生</cp:lastModifiedBy>
  <dcterms:modified xsi:type="dcterms:W3CDTF">2024-05-09T23:06:46Z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89A76205A1DFFDFA13F86A648A9D3D3E</vt:lpwstr>
  </property>
</Properties>
</file>