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72 / 粮食 5 / 士气 62 / 信念 58 / 民心 48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40、指导员 42、红小鬼 38、卫生员 36、老乡 28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再点下一句）；可跳过。有配音的一拍**等这句念完再走**，没有音频也不受影响（红线：任何音频都不许阻塞流程）。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电影化三处共用一套拍子：序章（题字 → 路线图 → 告别）、每幕幕间（回望：地图点亮已走过的每一段 + 上一幕总评两句 → 本幕空镜 → 本幕题字）、终章升华（会宁空镜 → 诗八句逐字 → 钤印落款）。全片不出现视频，只有静帧 + 字幕 + 音频。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开场是一段可跳过的序章，由与其他两处（幕间过渡、终章升华）**共用的「拍子」播放器**演出：题字 / 路线图 / 空镜 / 诗 / 钤印五种镜头、一套节奏；自动播 + 点按推进 + 可跳过，系统开了「减少动效」时位移类关闭、字幕整段直显（音频照播）。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黑场题字：于都河 · 一九三四年十月（八万六千人，八个渡口）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S1b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路线图：六站行程逐节点亮（于都河 → 会宁）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S2b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告别空镜两拍：母亲一句、旁白一句（预录台词）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 + 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assets/scenes|characters|events/    fonts/    audio/{ambient,sfx,cache,reactions}/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10.2.5 前端架构：内核 + 事件总线 + IP 模块（SoC 思路）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模块之间**不直接调用**：通知/命令走事件总线，跨模块只读取数走只读快照，需要别人接口时走 kernel.api()。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**模块集合不写死**：新增模块 = 写一个描述符 + 在模块清单里登记一行；内核与其它模块的文件都不用改。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四条规矩由脚本强制（qa:bus）：模块间不许 import、订阅只写在模块描述符里、事件名先登记、模块必须在清单里。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内核自带诊断（事件流黑匣子），可导出 JSONL——一次动作如何驱动多个模块，答辩时是可以演示的。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新增交互玩法（小游戏）= 复制一个模板文件 + 填 id/题名/数值签/可操作项；宿主自动开屏、写板头、声明自动化契约。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老班长、指导员、红小鬼、卫生员、老乡（五人，已具备）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2026-09-15T14:36:34.074Z</dcterms:created>
  <dcterms:modified xsi:type="dcterms:W3CDTF">2026-09-15T14:36:34.076Z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