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食刻 (ShiKe) — 冷启动与商业变现方案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运营与商业化白皮书 (v1.0)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一、 0 预算冷启动与用户增长策略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独立开发者的核心瓶颈是“无买量预算”。食刻通过 </w:t>
      </w:r>
      <w:r>
        <w:rPr>
          <w:rFonts w:ascii="Microsoft YaHei" w:hAnsi="Microsoft YaHei"/>
          <w:b/>
        </w:rPr>
        <w:t>“Build in Public（公开构建）”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</w:rPr>
        <w:t>“私密社交自裂变”</w:t>
      </w:r>
      <w:r>
        <w:rPr>
          <w:rFonts w:ascii="Microsoft YaHei" w:hAnsi="Microsoft YaHei"/>
        </w:rPr>
        <w:t xml:space="preserve"> 双引擎驱动，实现 0 预算破局。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 Build in Public (公开构建) 实操手册</w:t>
      </w:r>
    </w:p>
    <w:p>
      <w:pPr>
        <w:spacing w:after="120" w:line="276" w:lineRule="auto"/>
      </w:pPr>
      <w:r>
        <w:rPr>
          <w:rFonts w:ascii="Microsoft YaHei" w:hAnsi="Microsoft YaHei"/>
        </w:rPr>
        <w:t>在开发第 1 天起，将开发进度变成“真实故事”发布在小红书、即刻、V2EX 和掘金上。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小红书平台设计（主攻大众减脂群体）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*选题方向*：痛点吐槽 + 独立日记。如《别再逼我称重了！我用 AI 撸了个拍照算卡路里的小程序》。</w:t>
      </w:r>
    </w:p>
    <w:p>
      <w:pPr>
        <w:pStyle w:val="ListBullet"/>
        <w:spacing w:after="60"/>
      </w:pPr>
      <w:r>
        <w:rPr>
          <w:rFonts w:ascii="Microsoft YaHei" w:hAnsi="Microsoft YaHei"/>
        </w:rPr>
        <w:t>*视觉图设计*：左侧放传统APP输入100g红烧肉的痛苦截图，右侧放食刻拍照秒出结果的精美UI卡片，形成强烈的对比对比。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即刻与 V2EX 平台设计（主攻极客与独立开发群）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*选题方向*：技术栈探索与商业实录。如《Java 后端 + AI 前端切图，我用两周开发完一款对赌打卡小程序》。</w:t>
      </w:r>
    </w:p>
    <w:p>
      <w:pPr>
        <w:pStyle w:val="ListBullet"/>
        <w:spacing w:after="60"/>
      </w:pPr>
      <w:r>
        <w:rPr>
          <w:rFonts w:ascii="Microsoft YaHei" w:hAnsi="Microsoft YaHei"/>
        </w:rPr>
        <w:t>*目标*：吸引第一批追求高自律、对科技敏感的早期种子用户。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 自裂变机制（K Factor &gt; 1 的闭环）</w:t>
      </w:r>
    </w:p>
    <w:p>
      <w:pPr>
        <w:spacing w:after="120" w:line="276" w:lineRule="auto"/>
      </w:pPr>
      <w:r>
        <w:rPr>
          <w:rFonts w:ascii="Microsoft YaHei" w:hAnsi="Microsoft YaHei"/>
        </w:rPr>
        <w:t>区别于传统的开放社区，食刻通过“小队模式”强行建立自拉新关系：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组队门槛</w:t>
      </w:r>
      <w:r>
        <w:rPr>
          <w:rFonts w:ascii="Microsoft YaHei" w:hAnsi="Microsoft YaHei"/>
        </w:rPr>
        <w:t>：用户如果想要开启“对赌打卡”，必须满足 2 人及以上的组队要求。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拉新诱导</w:t>
      </w:r>
      <w:r>
        <w:rPr>
          <w:rFonts w:ascii="Microsoft YaHei" w:hAnsi="Microsoft YaHei"/>
        </w:rPr>
        <w:t>：创建小队的用户，一键点击“邀请队员”，生成精美的微信分享卡片（如：`“我发起了7天减脂对赌，输了请喝美式！输入邀请码【A8X2B】加入战斗”`）。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熟人推荐</w:t>
      </w:r>
      <w:r>
        <w:rPr>
          <w:rFonts w:ascii="Microsoft YaHei" w:hAnsi="Microsoft YaHei"/>
        </w:rPr>
        <w:t>：被邀请的队员为了不输掉面子或押金，会欣然加入，从而将拉新动作由“系统硬推广”变为“熟人间的游戏化邀约”。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3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二、 商业变现路径规划 (Monetization Roadmap)</w:t>
      </w:r>
    </w:p>
    <w:p>
      <w:pPr>
        <w:spacing w:after="120" w:line="276" w:lineRule="auto"/>
      </w:pPr>
      <w:r>
        <w:rPr>
          <w:rFonts w:ascii="Microsoft YaHei" w:hAnsi="Microsoft YaHei"/>
        </w:rPr>
        <w:t>变现逻辑的核心是：</w:t>
      </w:r>
      <w:r>
        <w:rPr>
          <w:rFonts w:ascii="Microsoft YaHei" w:hAnsi="Microsoft YaHei"/>
          <w:b/>
        </w:rPr>
        <w:t>不收普通用户的功能使用费，而是通过“增值服务”、“内容集市抽佣”和“原生品牌带货”来盈利。</w:t>
      </w:r>
      <w:r>
        <w:rPr>
          <w:rFonts w:ascii="Microsoft YaHei" w:hAnsi="Microsoft YaHei"/>
        </w:rPr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spacing w:after="120" w:line="276" w:lineRule="auto"/>
      </w:pPr>
      <w:r>
        <w:rPr>
          <w:rFonts w:ascii="Microsoft YaHei" w:hAnsi="Microsoft YaHei"/>
        </w:rPr>
        <w:t>[用户规模 &lt; 5000] ──&gt; [5000 - 5万用户] ──&gt; [用户规模 &gt; 5万]</w:t>
      </w:r>
    </w:p>
    <w:p>
      <w:pPr>
        <w:spacing w:after="120" w:line="276" w:lineRule="auto"/>
      </w:pPr>
      <w:r>
        <w:rPr>
          <w:rFonts w:ascii="Microsoft YaHei" w:hAnsi="Microsoft YaHei"/>
        </w:rPr>
        <w:t>(完全免费)             (食刻集市 20% 抽佣)        (订阅制会员 + 品牌合作)</w:t>
      </w:r>
    </w:p>
    <w:p>
      <w:pPr>
        <w:spacing w:after="120" w:line="276" w:lineRule="auto"/>
      </w:pPr>
      <w:r>
        <w:rPr>
          <w:rFonts w:ascii="Microsoft YaHei" w:hAnsi="Microsoft YaHei"/>
        </w:rPr>
        <w:t>```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1. 启动期（用户数 &lt; 5,000）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动作</w:t>
      </w:r>
      <w:r>
        <w:rPr>
          <w:rFonts w:ascii="Microsoft YaHei" w:hAnsi="Microsoft YaHei"/>
        </w:rPr>
        <w:t>：全功能免费，且不加入任何弹窗广告。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目的</w:t>
      </w:r>
      <w:r>
        <w:rPr>
          <w:rFonts w:ascii="Microsoft YaHei" w:hAnsi="Microsoft YaHei"/>
        </w:rPr>
        <w:t>：积累数据，不断优化 AI 视觉 Prompt，打磨体验，建立品牌口碑。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2. 成长期（用户数 5,000 - 50,000）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食刻集市 (UGC 创作者分成)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允许专业健身教练、减脂博主或营养师入驻。</w:t>
      </w:r>
    </w:p>
    <w:p>
      <w:pPr>
        <w:pStyle w:val="ListBullet"/>
        <w:spacing w:after="60"/>
      </w:pPr>
      <w:r>
        <w:rPr>
          <w:rFonts w:ascii="Microsoft YaHei" w:hAnsi="Microsoft YaHei"/>
        </w:rPr>
        <w:t>发布付费内容（如：`“7天生酮食谱计划”`，售价 9.9 元 - 49 元）。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平台提取 </w:t>
      </w:r>
      <w:r>
        <w:rPr>
          <w:rFonts w:ascii="Microsoft YaHei" w:hAnsi="Microsoft YaHei"/>
          <w:b/>
        </w:rPr>
        <w:t>20%</w:t>
      </w:r>
      <w:r>
        <w:rPr>
          <w:rFonts w:ascii="Microsoft YaHei" w:hAnsi="Microsoft YaHei"/>
        </w:rPr>
        <w:t xml:space="preserve"> 交易佣金（对标知识星球模式）。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官方对赌赛事资金流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提供官方组队的“百人减脂争霸赛”。用户缴纳真实押金（如 20 元），未达标者资金沉淀，达标者瓜分资金池，平台从沉淀资金中抽取 </w:t>
      </w:r>
      <w:r>
        <w:rPr>
          <w:rFonts w:ascii="Microsoft YaHei" w:hAnsi="Microsoft YaHei"/>
          <w:b/>
        </w:rPr>
        <w:t>10%</w:t>
      </w:r>
      <w:r>
        <w:rPr>
          <w:rFonts w:ascii="Microsoft YaHei" w:hAnsi="Microsoft YaHei"/>
        </w:rPr>
        <w:t xml:space="preserve"> 作为运营技术服务费。</w:t>
      </w:r>
    </w:p>
    <w:p>
      <w:pPr>
        <w:pStyle w:val="Heading4"/>
        <w:keepNext/>
        <w:spacing w:before="240" w:after="120"/>
      </w:pPr>
      <w:r>
        <w:rPr>
          <w:rFonts w:ascii="Microsoft YaHei" w:hAnsi="Microsoft YaHei"/>
          <w:b/>
          <w:color w:val="595959"/>
          <w:sz w:val="24"/>
        </w:rPr>
      </w:r>
      <w:r>
        <w:rPr>
          <w:rFonts w:ascii="Microsoft YaHei" w:hAnsi="Microsoft YaHei"/>
          <w:b/>
          <w:color w:val="595959"/>
          <w:sz w:val="24"/>
        </w:rPr>
        <w:t>3. 成熟期（用户数 50,000+）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食刻 Pro (订阅会员)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*价格*：15~28 元/月。</w:t>
      </w:r>
    </w:p>
    <w:p>
      <w:pPr>
        <w:pStyle w:val="ListBullet"/>
        <w:spacing w:after="60"/>
      </w:pPr>
      <w:r>
        <w:rPr>
          <w:rFonts w:ascii="Microsoft YaHei" w:hAnsi="Microsoft YaHei"/>
        </w:rPr>
        <w:t>*专属功能*：AI 个人营养医生周报（通过大模型深度分析一周饮食盲区并给出调理建议）、定制化 AI 食谱生成。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原生品牌健康食品合作 (非弹窗广告)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与轻食沙拉、高蛋白零食、智能体脂秤品牌进行深度原生内容合作。例如，AI 分析今日用户蛋白质摄入量不足时，会在分析卡片底部自然推荐：“您可以搭配一包【XX品牌】即食鸡胸肉，快速补充蛋白质”。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