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F172A"/>
          <w:sz w:val="44"/>
        </w:rPr>
        <w:t>《食刻 (咔嚓算卡) 系统设计、代谢算法与运营后台开发文档》</w:t>
      </w:r>
    </w:p>
    <w:p>
      <w:pPr>
        <w:jc w:val="center"/>
      </w:pPr>
      <w:r>
        <w:rPr>
          <w:rFonts w:ascii="Microsoft YaHei" w:hAnsi="Microsoft YaHei"/>
          <w:color w:val="64748B"/>
          <w:sz w:val="21"/>
        </w:rPr>
        <w:t>版本: v2.5.0  |  日期: 2026-07-30  |  系统状态: 生产环境已上线</w:t>
      </w:r>
    </w:p>
    <w:p/>
    <w:p>
      <w:pPr>
        <w:spacing w:before="280" w:after="120"/>
      </w:pPr>
      <w:r>
        <w:rPr>
          <w:rFonts w:ascii="Microsoft YaHei" w:hAnsi="Microsoft YaHei"/>
          <w:b/>
          <w:color w:val="10B981"/>
          <w:sz w:val="32"/>
        </w:rPr>
        <w:t>一、 系统架构与部署环境概述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系统定位：</w:t>
      </w:r>
      <w:r>
        <w:rPr>
          <w:rFonts w:ascii="Microsoft YaHei" w:hAnsi="Microsoft YaHei"/>
          <w:color w:val="334155"/>
          <w:sz w:val="21"/>
        </w:rPr>
        <w:t>“食刻 (咔嚓算卡)”是一套结合 AI 视觉智能识别、精准热量代谢计算与 5 人契约减脂对赌小队的自律健康管理系统。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技术架构：</w:t>
      </w:r>
      <w:r>
        <w:rPr>
          <w:rFonts w:ascii="Microsoft YaHei" w:hAnsi="Microsoft YaHei"/>
          <w:color w:val="334155"/>
          <w:sz w:val="21"/>
        </w:rPr>
        <w:t>后端基于 Spring Boot 3.2 + JPA + MySQL + Redis 架构，采用 Docker 容器化全自动编译与热部署；前端为微信小程序，兼具网页版运营管理控制台。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服务器节点：</w:t>
      </w:r>
      <w:r>
        <w:rPr>
          <w:rFonts w:ascii="Microsoft YaHei" w:hAnsi="Microsoft YaHei"/>
          <w:color w:val="334155"/>
          <w:sz w:val="21"/>
        </w:rPr>
        <w:t>117.72.61.18 (腾讯云/阿里云服务器)，对外开放端口 8081。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Web 运营后台：</w:t>
      </w:r>
      <w:r>
        <w:rPr>
          <w:rFonts w:ascii="Microsoft YaHei" w:hAnsi="Microsoft YaHei"/>
          <w:color w:val="334155"/>
          <w:sz w:val="21"/>
        </w:rPr>
        <w:t>http://117.72.61.18:8081/api/v1/admin/index.html (支持电脑及手机浏览器直达)</w:t>
      </w:r>
    </w:p>
    <w:p>
      <w:pPr>
        <w:spacing w:before="280" w:after="120"/>
      </w:pPr>
      <w:r>
        <w:rPr>
          <w:rFonts w:ascii="Microsoft YaHei" w:hAnsi="Microsoft YaHei"/>
          <w:b/>
          <w:color w:val="10B981"/>
          <w:sz w:val="32"/>
        </w:rPr>
        <w:t>二、 运动健康与热量代谢算法公式</w:t>
      </w:r>
    </w:p>
    <w:p>
      <w:pPr>
        <w:spacing w:before="200" w:after="80"/>
      </w:pPr>
      <w:r>
        <w:rPr>
          <w:rFonts w:ascii="Microsoft YaHei" w:hAnsi="Microsoft YaHei"/>
          <w:b/>
          <w:color w:val="1E293B"/>
          <w:sz w:val="26"/>
        </w:rPr>
        <w:t>1. 基础代谢 (BMR) 与总消耗 (TDEE) 公式</w:t>
      </w:r>
    </w:p>
    <w:p>
      <w:pPr>
        <w:spacing w:after="80" w:line="288" w:lineRule="auto"/>
      </w:pPr>
      <w:r>
        <w:rPr>
          <w:rFonts w:ascii="Microsoft YaHei" w:hAnsi="Microsoft YaHei"/>
          <w:color w:val="334155"/>
          <w:sz w:val="21"/>
        </w:rPr>
        <w:t>采用国际临床公认的 Mifflin-St Jeor 公式进行推算：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男性 BMR：</w:t>
      </w:r>
      <w:r>
        <w:rPr>
          <w:rFonts w:ascii="Microsoft YaHei" w:hAnsi="Microsoft YaHei"/>
          <w:color w:val="334155"/>
          <w:sz w:val="21"/>
        </w:rPr>
        <w:t>BMR = (10 × 体重kg) + (6.25 × 身高cm) - (5 × 年龄) + 5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女性 BMR：</w:t>
      </w:r>
      <w:r>
        <w:rPr>
          <w:rFonts w:ascii="Microsoft YaHei" w:hAnsi="Microsoft YaHei"/>
          <w:color w:val="334155"/>
          <w:sz w:val="21"/>
        </w:rPr>
        <w:t>BMR = (10 × 体重kg) + (6.25 × 身高cm) - (5 × 年龄) - 161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每日总消耗 TDEE：</w:t>
      </w:r>
      <w:r>
        <w:rPr>
          <w:rFonts w:ascii="Microsoft YaHei" w:hAnsi="Microsoft YaHei"/>
          <w:color w:val="334155"/>
          <w:sz w:val="21"/>
        </w:rPr>
        <w:t>TDEE = BMR × 活动系数 (久坐: 1.2, 轻度: 1.375, 中度: 1.55, 重度: 1.725)</w:t>
      </w:r>
    </w:p>
    <w:p>
      <w:pPr>
        <w:spacing w:before="200" w:after="80"/>
      </w:pPr>
      <w:r>
        <w:rPr>
          <w:rFonts w:ascii="Microsoft YaHei" w:hAnsi="Microsoft YaHei"/>
          <w:b/>
          <w:color w:val="1E293B"/>
          <w:sz w:val="26"/>
        </w:rPr>
        <w:t>2. 定制化目标与安全风控阀门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周期定量计划 (PERIOD)：</w:t>
      </w:r>
      <w:r>
        <w:rPr>
          <w:rFonts w:ascii="Microsoft YaHei" w:hAnsi="Microsoft YaHei"/>
          <w:color w:val="334155"/>
          <w:sz w:val="21"/>
        </w:rPr>
        <w:t>按目标减重斤数与计划天数精准计算：每日热量赤字/盈余 = (期望变化斤数 × 3850 kcal) / 计划天数。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极致腹肌计划 (ABS)：</w:t>
      </w:r>
      <w:r>
        <w:rPr>
          <w:rFonts w:ascii="Microsoft YaHei" w:hAnsi="Microsoft YaHei"/>
          <w:color w:val="334155"/>
          <w:sz w:val="21"/>
        </w:rPr>
        <w:t>以显露清晰腹肌为目标（男性体脂率标准 12%，女性体脂率标准 18%），根据当前体脂率计算需减去的纯脂肪重量及对应卡路里赤字。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健康安全风控规则：</w:t>
      </w:r>
      <w:r>
        <w:rPr>
          <w:rFonts w:ascii="Microsoft YaHei" w:hAnsi="Microsoft YaHei"/>
          <w:color w:val="334155"/>
          <w:sz w:val="21"/>
        </w:rPr>
        <w:t>① 每周减脂速度严禁超过 2 斤（每日最大赤字封顶 1000 kcal）；</w:t>
        <w:br/>
        <w:t>② 每日推荐卡路里摄入下限强制锁定在用户自身的 BMR（基础代谢），严禁低于 BMR 以保护身体健康；</w:t>
        <w:br/>
        <w:t>③ 每周增肌速度不建议超过 1 斤（每日最大盈余封顶 500 kcal）。</w:t>
      </w:r>
    </w:p>
    <w:p>
      <w:pPr>
        <w:spacing w:before="280" w:after="120"/>
      </w:pPr>
      <w:r>
        <w:rPr>
          <w:rFonts w:ascii="Microsoft YaHei" w:hAnsi="Microsoft YaHei"/>
          <w:b/>
          <w:color w:val="10B981"/>
          <w:sz w:val="32"/>
        </w:rPr>
        <w:t>三、 首页看板与动态色彩渲染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运动热量剥离规则：</w:t>
      </w:r>
      <w:r>
        <w:rPr>
          <w:rFonts w:ascii="Microsoft YaHei" w:hAnsi="Microsoft YaHei"/>
          <w:color w:val="334155"/>
          <w:sz w:val="21"/>
        </w:rPr>
        <w:t>根据用户指示，运动消耗的热量独立在顶部展示（已摄入 / 目标 / 运动消耗 +XX），不再从“剩余热量”中做扣减。剩余热量纯粹等于 [目标预算 - 已摄入热量]。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动态阶梯色彩规则：</w:t>
      </w:r>
      <w:r>
        <w:rPr>
          <w:rFonts w:ascii="Microsoft YaHei" w:hAnsi="Microsoft YaHei"/>
          <w:color w:val="334155"/>
          <w:sz w:val="21"/>
        </w:rPr>
        <w:t>圆环及中心数字根据剩余热量占总目标的百分比实现 4 阶梯动态色彩渲染：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1) 剩余 &gt; 40% (充足)：</w:t>
      </w:r>
      <w:r>
        <w:rPr>
          <w:rFonts w:ascii="Microsoft YaHei" w:hAnsi="Microsoft YaHei"/>
          <w:color w:val="334155"/>
          <w:sz w:val="21"/>
        </w:rPr>
        <w:t>呈现活力青绿渐变色 (#2BB7C6 → #A8E86A)，代表预算充裕。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2) 15% &lt; 剩余 &lt;= 40% (预警)：</w:t>
      </w:r>
      <w:r>
        <w:rPr>
          <w:rFonts w:ascii="Microsoft YaHei" w:hAnsi="Microsoft YaHei"/>
          <w:color w:val="334155"/>
          <w:sz w:val="21"/>
        </w:rPr>
        <w:t>呈现琥珀暖金渐变色 (#F59E0B → #F97316)，提示预算过半需合理规划。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3) 0% &lt; 剩余 &lt;= 15% (临界)：</w:t>
      </w:r>
      <w:r>
        <w:rPr>
          <w:rFonts w:ascii="Microsoft YaHei" w:hAnsi="Microsoft YaHei"/>
          <w:color w:val="334155"/>
          <w:sz w:val="21"/>
        </w:rPr>
        <w:t>呈现警示红橙渐变色 (#F97316 → #EF4444) 及红色发光阴影，中心数字变红告警。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4) 剩余 &lt;= 0 (超预算)：</w:t>
      </w:r>
      <w:r>
        <w:rPr>
          <w:rFonts w:ascii="Microsoft YaHei" w:hAnsi="Microsoft YaHei"/>
          <w:color w:val="334155"/>
          <w:sz w:val="21"/>
        </w:rPr>
        <w:t>呈现玫瑰警示红渐变色，提示热量过载。</w:t>
      </w:r>
    </w:p>
    <w:p>
      <w:pPr>
        <w:spacing w:before="280" w:after="120"/>
      </w:pPr>
      <w:r>
        <w:rPr>
          <w:rFonts w:ascii="Microsoft YaHei" w:hAnsi="Microsoft YaHei"/>
          <w:b/>
          <w:color w:val="10B981"/>
          <w:sz w:val="32"/>
        </w:rPr>
        <w:t>四、 运营数据管理后台系统 (Admin Dashboard)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后台系统概述：</w:t>
      </w:r>
      <w:r>
        <w:rPr>
          <w:rFonts w:ascii="Microsoft YaHei" w:hAnsi="Microsoft YaHei"/>
          <w:color w:val="334155"/>
          <w:sz w:val="21"/>
        </w:rPr>
        <w:t>系统已构建全功能 Web 运营控制台 (http://117.72.61.18:8081/api/v1/admin/index.html) 及小程序管理员入口。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0B981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</w:rPr>
              <w:t>模块名称</w:t>
            </w:r>
          </w:p>
        </w:tc>
        <w:tc>
          <w:tcPr>
            <w:tcW w:type="dxa" w:w="2268"/>
            <w:shd w:fill="10B981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</w:rPr>
              <w:t>数据指标 / 功能</w:t>
            </w:r>
          </w:p>
        </w:tc>
        <w:tc>
          <w:tcPr>
            <w:tcW w:type="dxa" w:w="2268"/>
            <w:shd w:fill="10B981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</w:rPr>
              <w:t>接口路径</w:t>
            </w:r>
          </w:p>
        </w:tc>
        <w:tc>
          <w:tcPr>
            <w:tcW w:type="dxa" w:w="2268"/>
            <w:shd w:fill="10B981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运营核心大盘</w:t>
            </w:r>
          </w:p>
        </w:tc>
        <w:tc>
          <w:tcPr>
            <w:tcW w:type="dxa" w:w="22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总用户、今日新增、AI总次数、饮食/运动打卡数、活跃小队</w:t>
            </w:r>
          </w:p>
        </w:tc>
        <w:tc>
          <w:tcPr>
            <w:tcW w:type="dxa" w:w="22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GET /api/v1/admin/stats</w:t>
            </w:r>
          </w:p>
        </w:tc>
        <w:tc>
          <w:tcPr>
            <w:tcW w:type="dxa" w:w="22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实时统计系统各项关键业务数据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全量用户管理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用户ID、头像、OpenID、性别、年龄、身高/体重、TDEE、积分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GET /api/v1/admin/users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支持按昵称/ID快速检索与排序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AI 额度监控</w:t>
            </w:r>
          </w:p>
        </w:tc>
        <w:tc>
          <w:tcPr>
            <w:tcW w:type="dxa" w:w="22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今日 AI 识别次数 (0-10次/天)</w:t>
            </w:r>
          </w:p>
        </w:tc>
        <w:tc>
          <w:tcPr>
            <w:tcW w:type="dxa" w:w="22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Redis Key 扫描</w:t>
            </w:r>
          </w:p>
        </w:tc>
        <w:tc>
          <w:tcPr>
            <w:tcW w:type="dxa" w:w="22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实时查看每位用户的单日 AI 识别额度使用进度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使用明细穿透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三餐打卡图片与AI分析、运动日志、饮水记录、对赌小队打卡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GET /api/v1/admin/users/{id}/records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YaHei" w:hAnsi="Microsoft YaHei"/>
                <w:color w:val="334155"/>
                <w:sz w:val="19"/>
              </w:rPr>
              <w:t>弹窗抽屉展出用户全量打卡细节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/>
          <w:b/>
          <w:color w:val="10B981"/>
          <w:sz w:val="32"/>
        </w:rPr>
        <w:t>五、 生产环境运营数据现状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当前注册用户总数：</w:t>
      </w:r>
      <w:r>
        <w:rPr>
          <w:rFonts w:ascii="Microsoft YaHei" w:hAnsi="Microsoft YaHei"/>
          <w:color w:val="334155"/>
          <w:sz w:val="21"/>
        </w:rPr>
        <w:t>14 位（上线首日至今新增 11 位真实用户）。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累计契约积分池：</w:t>
      </w:r>
      <w:r>
        <w:rPr>
          <w:rFonts w:ascii="Microsoft YaHei" w:hAnsi="Microsoft YaHei"/>
          <w:color w:val="334155"/>
          <w:sz w:val="21"/>
        </w:rPr>
        <w:t>13,565 pts。</w:t>
      </w:r>
    </w:p>
    <w:p>
      <w:pPr>
        <w:spacing w:after="80" w:line="288" w:lineRule="auto"/>
      </w:pPr>
      <w:r>
        <w:rPr>
          <w:rFonts w:ascii="Microsoft YaHei" w:hAnsi="Microsoft YaHei"/>
          <w:b/>
          <w:color w:val="0F172A"/>
          <w:sz w:val="21"/>
        </w:rPr>
        <w:t>健康档案完善率：</w:t>
      </w:r>
      <w:r>
        <w:rPr>
          <w:rFonts w:ascii="Microsoft YaHei" w:hAnsi="Microsoft YaHei"/>
          <w:color w:val="334155"/>
          <w:sz w:val="21"/>
        </w:rPr>
        <w:t>64%（7 位用户已录入完整代谢档案并计算 TDEE）。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