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b/>
          <w:color w:val="10B981"/>
          <w:sz w:val="36"/>
        </w:rPr>
        <w:t>食刻 (ShiKe) — UI 视觉风格与交互流程设计</w:t>
      </w:r>
    </w:p>
    <w:p>
      <w:pPr>
        <w:pStyle w:val="Heading2"/>
      </w:pPr>
      <w:r>
        <w:rPr>
          <w:rFonts w:ascii="Microsoft YaHei" w:hAnsi="Microsoft YaHei"/>
          <w:b/>
          <w:color w:val="6366F1"/>
          <w:sz w:val="28"/>
        </w:rPr>
        <w:t>视觉与交互规范 (v1.0)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一、 视觉设计规范 (UI Style Guide)</w:t>
      </w:r>
    </w:p>
    <w:p>
      <w:r>
        <w:rPr>
          <w:rFonts w:ascii="Microsoft YaHei" w:hAnsi="Microsoft YaHei"/>
        </w:rPr>
        <w:t>为了消除传统卡路里记录工具带来的“医疗化、焦虑感”和沉闷，食刻的 UI 视觉定位是：极简主义、生活感与轻盈。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1. 色彩规范 (Color Palette)</w:t>
      </w:r>
    </w:p>
    <w:p>
      <w:pPr>
        <w:pStyle w:val="ListBullet"/>
      </w:pPr>
      <w:r>
        <w:rPr>
          <w:rFonts w:ascii="Microsoft YaHei" w:hAnsi="Microsoft YaHei"/>
        </w:rPr>
        <w:t xml:space="preserve">  主色 (Primary)：#10B981 (健康翡翠绿 - 传达生机与自然食欲，非焦虑警告红)。</w:t>
      </w:r>
    </w:p>
    <w:p>
      <w:pPr>
        <w:pStyle w:val="ListBullet"/>
      </w:pPr>
      <w:r>
        <w:rPr>
          <w:rFonts w:ascii="Microsoft YaHei" w:hAnsi="Microsoft YaHei"/>
        </w:rPr>
        <w:t xml:space="preserve">  辅助色 (Accent)：#6366F1 (丁香紫 - 用于社交、小队对赌以及重要互动提示)。</w:t>
      </w:r>
    </w:p>
    <w:p>
      <w:pPr>
        <w:pStyle w:val="ListBullet"/>
      </w:pPr>
      <w:r>
        <w:rPr>
          <w:rFonts w:ascii="Microsoft YaHei" w:hAnsi="Microsoft YaHei"/>
        </w:rPr>
        <w:t xml:space="preserve">  中性色底色 (Neutral Backgrounds)：</w:t>
      </w:r>
    </w:p>
    <w:p>
      <w:pPr>
        <w:pStyle w:val="ListBullet"/>
      </w:pPr>
      <w:r>
        <w:rPr>
          <w:rFonts w:ascii="Microsoft YaHei" w:hAnsi="Microsoft YaHei"/>
        </w:rPr>
        <w:t xml:space="preserve">  浅色模式：#F8FAFC (轻盈乳白) / 纯白卡片 #FFFFFF。</w:t>
      </w:r>
    </w:p>
    <w:p>
      <w:pPr>
        <w:pStyle w:val="ListBullet"/>
      </w:pPr>
      <w:r>
        <w:rPr>
          <w:rFonts w:ascii="Microsoft YaHei" w:hAnsi="Microsoft YaHei"/>
        </w:rPr>
        <w:t xml:space="preserve">  暗色模式：#0F172A (午夜深蓝/深Slate) / 卡片 #1E293B。</w:t>
      </w:r>
    </w:p>
    <w:p>
      <w:pPr>
        <w:pStyle w:val="ListBullet"/>
      </w:pPr>
      <w:r>
        <w:rPr>
          <w:rFonts w:ascii="Microsoft YaHei" w:hAnsi="Microsoft YaHei"/>
        </w:rPr>
        <w:t xml:space="preserve">  渐变色 (Gradients)：</w:t>
      </w:r>
    </w:p>
    <w:p>
      <w:pPr>
        <w:pStyle w:val="ListBullet"/>
      </w:pPr>
      <w:r>
        <w:rPr>
          <w:rFonts w:ascii="Microsoft YaHei" w:hAnsi="Microsoft YaHei"/>
        </w:rPr>
        <w:t xml:space="preserve">  热量圆环进度条：#10B981 渐变至 #34D399。</w:t>
      </w:r>
    </w:p>
    <w:p>
      <w:pPr>
        <w:pStyle w:val="ListBullet"/>
      </w:pPr>
      <w:r>
        <w:rPr>
          <w:rFonts w:ascii="Microsoft YaHei" w:hAnsi="Microsoft YaHei"/>
        </w:rPr>
        <w:t xml:space="preserve">  对赌获胜海报背景：#6366F1 (丁香紫) 渐变至 #8B5CF6。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2. 质感与组件样式</w:t>
      </w:r>
    </w:p>
    <w:p>
      <w:pPr>
        <w:pStyle w:val="ListBullet"/>
      </w:pPr>
      <w:r>
        <w:rPr>
          <w:rFonts w:ascii="Microsoft YaHei" w:hAnsi="Microsoft YaHei"/>
        </w:rPr>
        <w:t xml:space="preserve">  玻璃拟态 (Glassmorphism)：列表卡片背景采用轻微毛玻璃效果（半透明背景 + backdrop-filter: blur(10px)），增加高端质感。</w:t>
      </w:r>
    </w:p>
    <w:p>
      <w:pPr>
        <w:pStyle w:val="ListBullet"/>
      </w:pPr>
      <w:r>
        <w:rPr>
          <w:rFonts w:ascii="Microsoft YaHei" w:hAnsi="Microsoft YaHei"/>
        </w:rPr>
        <w:t xml:space="preserve">  圆角规范：小部件圆角统一为 12rpx，卡片及海报大圆角统一为 24rpx，带来饱满温润的触感。</w:t>
      </w:r>
    </w:p>
    <w:p>
      <w:pPr>
        <w:pStyle w:val="ListBullet"/>
      </w:pPr>
      <w:r>
        <w:rPr>
          <w:rFonts w:ascii="Microsoft YaHei" w:hAnsi="Microsoft YaHei"/>
        </w:rPr>
        <w:t xml:space="preserve">  微动效 (Micro-Animations)：</w:t>
      </w:r>
    </w:p>
    <w:p>
      <w:pPr>
        <w:pStyle w:val="ListBullet"/>
      </w:pPr>
      <w:r>
        <w:rPr>
          <w:rFonts w:ascii="Microsoft YaHei" w:hAnsi="Microsoft YaHei"/>
        </w:rPr>
        <w:t xml:space="preserve">  点击拍照按钮时：按钮执行轻微缩放呼吸反馈 (transform: scale(0.95))。</w:t>
      </w:r>
    </w:p>
    <w:p>
      <w:pPr>
        <w:pStyle w:val="ListBullet"/>
      </w:pPr>
      <w:r>
        <w:rPr>
          <w:rFonts w:ascii="Microsoft YaHei" w:hAnsi="Microsoft YaHei"/>
        </w:rPr>
        <w:t xml:space="preserve">  热量看板加载时：圆环以环形动画平滑绘制。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二、 核心交互流程 (Interaction Flow)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1. 饮食拍照识别与快速校准流程 (AI Recognition &amp; Calibration)</w:t>
      </w:r>
    </w:p>
    <w:p>
      <w:pPr>
        <w:ind w:left="720"/>
      </w:pPr>
      <w:r>
        <w:rPr>
          <w:rFonts w:ascii="Courier New" w:hAnsi="Courier New"/>
          <w:sz w:val="19"/>
        </w:rPr>
        <w:t>graph TD</w:t>
      </w:r>
    </w:p>
    <w:p>
      <w:pPr>
        <w:ind w:left="720"/>
      </w:pPr>
      <w:r>
        <w:rPr>
          <w:rFonts w:ascii="Courier New" w:hAnsi="Courier New"/>
          <w:sz w:val="19"/>
        </w:rPr>
        <w:t xml:space="preserve">    A[首页点击拍照记录] --&gt; B(调用相机拍照/选相册)</w:t>
      </w:r>
    </w:p>
    <w:p>
      <w:pPr>
        <w:ind w:left="720"/>
      </w:pPr>
      <w:r>
        <w:rPr>
          <w:rFonts w:ascii="Courier New" w:hAnsi="Courier New"/>
          <w:sz w:val="19"/>
        </w:rPr>
        <w:t xml:space="preserve">    B --&gt; C[显示加载中动画 - AI正在辨认食材]</w:t>
      </w:r>
    </w:p>
    <w:p>
      <w:pPr>
        <w:ind w:left="720"/>
      </w:pPr>
      <w:r>
        <w:rPr>
          <w:rFonts w:ascii="Courier New" w:hAnsi="Courier New"/>
          <w:sz w:val="19"/>
        </w:rPr>
        <w:t xml:space="preserve">    C --&gt; D[显示识别结果卡片]</w:t>
      </w:r>
    </w:p>
    <w:p>
      <w:pPr>
        <w:ind w:left="720"/>
      </w:pPr>
      <w:r>
        <w:rPr>
          <w:rFonts w:ascii="Courier New" w:hAnsi="Courier New"/>
          <w:sz w:val="19"/>
        </w:rPr>
        <w:t xml:space="preserve">    D --&gt;|AI判断: 鸡胸肉 150克| E(拖动克数滑块微调)</w:t>
      </w:r>
    </w:p>
    <w:p>
      <w:pPr>
        <w:ind w:left="720"/>
      </w:pPr>
      <w:r>
        <w:rPr>
          <w:rFonts w:ascii="Courier New" w:hAnsi="Courier New"/>
          <w:sz w:val="19"/>
        </w:rPr>
        <w:t xml:space="preserve">    D --&gt;|AI判断: 油量中等| F(一键微调: 清淡/油腻/少油)</w:t>
      </w:r>
    </w:p>
    <w:p>
      <w:pPr>
        <w:ind w:left="720"/>
      </w:pPr>
      <w:r>
        <w:rPr>
          <w:rFonts w:ascii="Courier New" w:hAnsi="Courier New"/>
          <w:sz w:val="19"/>
        </w:rPr>
        <w:t xml:space="preserve">    E --&gt; G[确认无误，保存入库]</w:t>
      </w:r>
    </w:p>
    <w:p>
      <w:pPr>
        <w:ind w:left="720"/>
      </w:pPr>
      <w:r>
        <w:rPr>
          <w:rFonts w:ascii="Courier New" w:hAnsi="Courier New"/>
          <w:sz w:val="19"/>
        </w:rPr>
        <w:t xml:space="preserve">    F --&gt; G</w:t>
      </w:r>
    </w:p>
    <w:p>
      <w:pPr>
        <w:ind w:left="720"/>
      </w:pPr>
      <w:r>
        <w:rPr>
          <w:rFonts w:ascii="Courier New" w:hAnsi="Courier New"/>
          <w:sz w:val="19"/>
        </w:rPr>
        <w:t xml:space="preserve">    G --&gt; H[首页卡路里大圆环实时更新扣减]</w:t>
      </w:r>
    </w:p>
    <w:p>
      <w:pPr>
        <w:pStyle w:val="ListBullet"/>
      </w:pPr>
      <w:r>
        <w:rPr>
          <w:rFonts w:ascii="Microsoft YaHei" w:hAnsi="Microsoft YaHei"/>
        </w:rPr>
        <w:t xml:space="preserve">  克数滑块交互：用户可以直接拖动进度条或点击 +/- 符号，系统按比例实时重新计算卡路里及三大营养素，不需要用户手动打字输入。</w:t>
      </w:r>
    </w:p>
    <w:p>
      <w:pPr>
        <w:pStyle w:val="ListBullet"/>
      </w:pPr>
      <w:r>
        <w:rPr>
          <w:rFonts w:ascii="Microsoft YaHei" w:hAnsi="Microsoft YaHei"/>
        </w:rPr>
        <w:t xml:space="preserve">  烹饪度微调：点击“少油”热量下调15%，“多油”热量上调20%，极大降低了记录中餐复杂菜品时的摩擦阻力。</w:t>
      </w:r>
    </w:p>
    <w:p>
      <w:pPr>
        <w:pStyle w:val="Heading4"/>
      </w:pPr>
      <w:r>
        <w:rPr>
          <w:rFonts w:ascii="Microsoft YaHei" w:hAnsi="Microsoft YaHei"/>
          <w:b/>
          <w:color w:val="475569"/>
          <w:sz w:val="22"/>
        </w:rPr>
        <w:t>2. 对赌小队创建与打卡流程 (Betting Team &amp; Check-in)</w:t>
      </w:r>
    </w:p>
    <w:p>
      <w:pPr>
        <w:ind w:left="720"/>
      </w:pPr>
      <w:r>
        <w:rPr>
          <w:rFonts w:ascii="Courier New" w:hAnsi="Courier New"/>
          <w:sz w:val="19"/>
        </w:rPr>
        <w:t>graph TD</w:t>
      </w:r>
    </w:p>
    <w:p>
      <w:pPr>
        <w:ind w:left="720"/>
      </w:pPr>
      <w:r>
        <w:rPr>
          <w:rFonts w:ascii="Courier New" w:hAnsi="Courier New"/>
          <w:sz w:val="19"/>
        </w:rPr>
        <w:t xml:space="preserve">    A[用户在小队页] --&gt;|点击创建| B[输入小队名称/天数]</w:t>
      </w:r>
    </w:p>
    <w:p>
      <w:pPr>
        <w:ind w:left="720"/>
      </w:pPr>
      <w:r>
        <w:rPr>
          <w:rFonts w:ascii="Courier New" w:hAnsi="Courier New"/>
          <w:sz w:val="19"/>
        </w:rPr>
        <w:t xml:space="preserve">    B --&gt; C[生成唯一的对赌邀请码]</w:t>
      </w:r>
    </w:p>
    <w:p>
      <w:pPr>
        <w:ind w:left="720"/>
      </w:pPr>
      <w:r>
        <w:rPr>
          <w:rFonts w:ascii="Courier New" w:hAnsi="Courier New"/>
          <w:sz w:val="19"/>
        </w:rPr>
        <w:t xml:space="preserve">    A --&gt;|点击加入| D[输入邀请码]</w:t>
      </w:r>
    </w:p>
    <w:p>
      <w:pPr>
        <w:ind w:left="720"/>
      </w:pPr>
      <w:r>
        <w:rPr>
          <w:rFonts w:ascii="Courier New" w:hAnsi="Courier New"/>
          <w:sz w:val="19"/>
        </w:rPr>
        <w:t xml:space="preserve">    D --&gt; E[加入成功, 并在小分队列表展示]</w:t>
      </w:r>
    </w:p>
    <w:p>
      <w:pPr>
        <w:ind w:left="720"/>
      </w:pPr>
      <w:r>
        <w:rPr>
          <w:rFonts w:ascii="Courier New" w:hAnsi="Courier New"/>
          <w:sz w:val="19"/>
        </w:rPr>
        <w:t xml:space="preserve">    E --&gt; F[每日饮食打卡]</w:t>
      </w:r>
    </w:p>
    <w:p>
      <w:pPr>
        <w:ind w:left="720"/>
      </w:pPr>
      <w:r>
        <w:rPr>
          <w:rFonts w:ascii="Courier New" w:hAnsi="Courier New"/>
          <w:sz w:val="19"/>
        </w:rPr>
        <w:t xml:space="preserve">    F --&gt;|卡路里未超标| G[系统自动打卡成功]</w:t>
      </w:r>
    </w:p>
    <w:p>
      <w:pPr>
        <w:ind w:left="720"/>
      </w:pPr>
      <w:r>
        <w:rPr>
          <w:rFonts w:ascii="Courier New" w:hAnsi="Courier New"/>
          <w:sz w:val="19"/>
        </w:rPr>
        <w:t xml:space="preserve">    F --&gt;|24:00未打卡或超标| H[判定为打卡失败]</w:t>
      </w:r>
    </w:p>
    <w:p>
      <w:pPr>
        <w:ind w:left="720"/>
      </w:pPr>
      <w:r>
        <w:rPr>
          <w:rFonts w:ascii="Courier New" w:hAnsi="Courier New"/>
          <w:sz w:val="19"/>
        </w:rPr>
        <w:t xml:space="preserve">    H --&gt; I[生成今日自我惩罚/被催促打卡海报]</w:t>
      </w:r>
    </w:p>
    <w:p>
      <w:r>
        <w:rPr>
          <w:rFonts w:ascii="Microsoft YaHei" w:hAnsi="Microsoft YaHei"/>
        </w:rPr>
        <w:t>---</w:t>
      </w:r>
    </w:p>
    <w:p>
      <w:pPr>
        <w:pStyle w:val="Heading3"/>
      </w:pPr>
      <w:r>
        <w:rPr>
          <w:rFonts w:ascii="Microsoft YaHei" w:hAnsi="Microsoft YaHei"/>
          <w:b/>
          <w:color w:val="1E293B"/>
          <w:sz w:val="24"/>
        </w:rPr>
        <w:t>三、 炫耀式打卡海报规范 (Share Poster Spec)</w:t>
      </w:r>
    </w:p>
    <w:p>
      <w:r>
        <w:rPr>
          <w:rFonts w:ascii="Microsoft YaHei" w:hAnsi="Microsoft YaHei"/>
        </w:rPr>
        <w:t>打卡海报是产品实现“自传播”和“低成本冷启动”的关键：</w:t>
      </w:r>
    </w:p>
    <w:p>
      <w:r>
        <w:rPr>
          <w:rFonts w:ascii="Microsoft YaHei" w:hAnsi="Microsoft YaHei"/>
        </w:rPr>
        <w:t>1.  卡片信息精简化：只保留最亮眼的数据，如 “今日达成热量赤字: -500 kcal”、“本周已连续打卡 5 天”，隐去繁琐的每餐明细，防止用户隐私焦虑。</w:t>
      </w:r>
    </w:p>
    <w:p>
      <w:r>
        <w:rPr>
          <w:rFonts w:ascii="Microsoft YaHei" w:hAnsi="Microsoft YaHei"/>
        </w:rPr>
        <w:t>2.  设计模版化：提供 3 套极简排版模板（“清晨森林”、“午后暖阳”、“极简几何”），自动拼接用户今日的一张精美餐饮图与打卡打码，极具社交平台传播美感。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