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rPr>
          <w:rFonts w:ascii="Noto Sans SC" w:hAnsi="Noto Sans SC" w:eastAsia="Noto Sans SC"/>
          <w:b/>
          <w:color w:val="000000"/>
          <w:sz w:val="48"/>
        </w:rPr>
        <w:t>特殊教育课堂AI评估工具方案总结</w:t>
      </w:r>
    </w:p>
    <w:p>
      <w:pPr>
        <w:spacing w:after="480"/>
        <w:jc w:val="center"/>
      </w:pPr>
      <w:r>
        <w:rPr>
          <w:rFonts w:ascii="Noto Sans SC" w:hAnsi="Noto Sans SC" w:eastAsia="Noto Sans SC"/>
          <w:color w:val="666666"/>
          <w:sz w:val="26"/>
        </w:rPr>
        <w:t>基于教案 视频证据与量表规则的课堂实施效果评估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课题方向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孤独症儿童主题式教学与教具学具课程评估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适用场景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课前教具评估与课中课堂实施效果评估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方案阶段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技术方案初稿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整理日期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2026年9月</w:t>
            </w:r>
          </w:p>
        </w:tc>
      </w:tr>
    </w:tbl>
    <w:p>
      <w:pPr>
        <w:spacing w:before="600" w:line="348" w:lineRule="auto"/>
        <w:jc w:val="center"/>
      </w:pPr>
      <w:r>
        <w:rPr>
          <w:rFonts w:ascii="Noto Sans SC" w:hAnsi="Noto Sans SC" w:eastAsia="Noto Sans SC"/>
          <w:b/>
          <w:color w:val="000000"/>
          <w:sz w:val="23"/>
        </w:rPr>
        <w:t>核心结论：不让AI直接凭整段视频主观打分，而是让AI自动提取有时间戳的课堂证据，再由规则系统形成评分建议，教师仅确认少量低置信度片段。</w:t>
      </w:r>
    </w:p>
    <w:p>
      <w:r>
        <w:br w:type="page"/>
      </w:r>
    </w:p>
    <w:p>
      <w:pPr>
        <w:pStyle w:val="Heading1"/>
      </w:pPr>
      <w:r>
        <w:t>一 方案定位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本方案在现有课前教具评估网站基础上，增加课堂实施效果评估模块。系统以教师上传的教案作为预期结构，以固定机位课堂视频作为实际证据，以课堂事件编码作为中间数据，以量表规则作为评分依据，最终形成可追溯、可复核、可修改的评估报告。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AI的角色不是替代教师作出专业结论，而是减少回看完整视频、寻找关键片段和填写客观证据记录的工作量。正式使用时，教师不需要在课堂中手工记录时间节点，也不需要拿着手机跟拍。</w:t>
      </w:r>
    </w:p>
    <w:p>
      <w:pPr>
        <w:pStyle w:val="Heading1"/>
      </w:pPr>
      <w:r>
        <w:t>二 总体工作流程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1. 课前上传现有教案，AI自动提取教学目标、课堂环节、关键指令、预期学生反应、任务步骤、辅助方式和泛化任务。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2. 教师用1至2分钟确认AI提取结果，并选择本节课重点观察的2至3名学生或学生层级。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3. 使用固定手机录制课堂，教师正常授课，不在课中操作评估系统。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4. 系统自动完成语音转写、课堂环节切分和关键事件候选识别。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5. 多模态模型分析关键片段，生成带时间戳、证据片段和置信度的课堂事件表。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6. 规则系统根据确认后的事件计算B1至B5评分建议。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7. 教师只复核低置信度或存在争议的10至30秒片段，确认后生成最终量表与改进建议。</w:t>
      </w:r>
    </w:p>
    <w:p>
      <w:pPr>
        <w:pStyle w:val="Heading1"/>
      </w:pPr>
      <w:r>
        <w:t>三 教案如何辅助视频理解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教案相当于课堂视频分析的先验结构。它让AI知道本节课计划做什么、教具何时出现、教师可能发出什么指令、学生应当产生什么反应以及什么状态属于正确完成。AI再把这些预期节点与视频中实际发生的行为对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教案信息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对AI分析的作用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系统输出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教学目标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限定需要观察的能力和行为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目标达成证据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课堂环节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建立预期时间顺序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实际环节起止时间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关键指令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帮助定位反应机会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指令次数和首次反应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任务步骤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判断完成到哪一步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步骤完成率和困难点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辅助方式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识别独立或提示下完成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辅助等级分布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泛化任务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确认是否存在迁移验证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B4证据或证据不足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系统必须区分预期和事实。教案写明的内容只能作为分析线索，不能直接当成课堂证据；如果教案计划了某一环节但视频未发现，系统应提示教师确认，而不是默认该环节已经完成。</w:t>
      </w:r>
    </w:p>
    <w:p>
      <w:pPr>
        <w:pStyle w:val="Heading1"/>
      </w:pPr>
      <w:r>
        <w:t>四 录制方案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第一阶段采用一台固定手机和一个教师领夹麦克风即可。手机不建议放在教室正后方，因为通常只能看到学生背面。更合适的位置是教室前侧或侧前方约45度角，横屏固定并适当抬高，使画面同时覆盖教师、重点学生上半身、双手和教具操作桌面。720P或1080P即可，不需要4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适合识别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建议阶段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最低成本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1台固定手机加教师领夹麦克风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指令、参与、离座、回避和部分操作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第一轮试验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推荐方案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1台全景手机加1台桌面手机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全班互动、手部动作和教具操作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正式课题采集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扩展方案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双机位加教师和环境麦克风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多学生、多角度和更完整行为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扩大研究后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教师不应拿着手机跟拍。所有设备均应固定。初期每节课建议选择2至3名重点学生，分别代表基础层、发展层和提高层，避免一开始要求AI精确追踪全班所有学生。</w:t>
      </w:r>
    </w:p>
    <w:p>
      <w:pPr>
        <w:pStyle w:val="Heading1"/>
      </w:pPr>
      <w:r>
        <w:t>五 课堂事件编码体系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课堂事件编码是系统的核心数据层。AI应先输出客观事件，再由规则系统映射到量表评分，而不是直接给出笼统判断。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时间范围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08:21至08:28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学生编号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S01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教师行为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发出把苹果放进篮子的指令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教具状态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教具已呈现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学生反应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正确放入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反应时长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4.2秒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辅助等级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手势提示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证据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对应10至20秒视频片段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置信度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 中 低</w:t>
            </w:r>
          </w:p>
        </w:tc>
      </w:tr>
    </w:tbl>
    <w:p>
      <w:pPr>
        <w:spacing w:after="40"/>
      </w:pPr>
    </w:p>
    <w:p>
      <w:pPr>
        <w:pStyle w:val="Heading1"/>
      </w:pPr>
      <w:r>
        <w:t>六 模块B的证据设计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可由AI提取的证据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B1 课堂参与表现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反应机会、主动操作、有效参与时长、推开教具、转身或离座次数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不能只用目光注视判断注意力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B2 学习理解支持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首次指令正确率、重复指令次数、反应时长、提示后完成情况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必须预先定义正确反应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B3 操作与分层适配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独立完成率、辅助等级、步骤失败位置、不同层级完成差异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精细操作可能需要第二机位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B4 技能习得与泛化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更换材料、场景或延迟任务后的完成情况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单一课堂同一任务不能证明泛化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B5 情绪行为影响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哭闹、尖叫、推开、离座、捂耳、自伤或攻击等可观察行为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不使用人脸表情推测内心情绪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B1和B5包含变化或影响的含义，因此应设置比较基准，例如教具使用前后、无教具与有教具、第一次使用与优化后使用。B4应增加迁移任务或后续观察入口，允许记录另一材料、另一场景或家庭生活中的表现。</w:t>
      </w:r>
    </w:p>
    <w:p>
      <w:pPr>
        <w:pStyle w:val="Heading1"/>
      </w:pPr>
      <w:r>
        <w:t>七 教师表现的处理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现有模块B主要评估教具的课堂实施效果。如果需要分析教师表现，建议新增课堂实施过程观察模块，初期不计入教具基础总分，避免将教师实施问题错误归因为教具质量。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指令是否简短清晰；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是否使用视觉提示；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是否给予足够等待时间；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辅助是否遵循由少到多的层级；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是否及时强化正确反应；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是否给重点学生提供足够反应机会；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教具是否按照设计方式使用。</w:t>
      </w:r>
    </w:p>
    <w:p>
      <w:pPr>
        <w:pStyle w:val="Heading1"/>
      </w:pPr>
      <w:r>
        <w:t>八 AI模型选型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综合国内可用性、中文课堂语音、视频理解、数据合规和成本，正式系统优先采用国内模型，Gemini作为研究对照或经脱敏后的疑难片段复核。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推荐方案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教案解析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千问Flash文本模型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成本低，结构化输出方便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中文语音识别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FunASR本地运行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中文适配好，减少API费用和隐私风险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完整课堂视频理解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Qwen3.8 Omni Flash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支持长视频、音视频联合理解和多种中文方言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疑难片段复核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Qwen高思考模式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只分析少量关键片段，控制成本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研究对照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Gemini Flash系列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长视频和时间轴理解能力强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最终评分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本地规则引擎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保证评分稳定、可解释、可复核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如果只能选择一个模型，优先Qwen3.8-Omni-Flash；如果完全不考虑数据跨境和国内接入，只追求通用视频理解上限，可优先测试Gemini。更稳妥的课题方案是千问正式使用、Gemini对照验证。</w:t>
      </w:r>
    </w:p>
    <w:p>
      <w:pPr>
        <w:pStyle w:val="Heading1"/>
      </w:pPr>
      <w:r>
        <w:t>九 成本控制方案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35分钟低分辨率课堂视频通常约为20万Token量级。Gemini低成本模型单次完整视频输入通常低于0.1美元；千问可按约0.2乘以控制台显示的每百万Token输入价格估算单节输入费用。总体上，单节课堂模型费用预计为几角到几元，真正需要控制的是重复分析、视频存储、人工复核和隐私管理成本。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一次请求输出完整事件表，避免B1至B5分别重复上传整段视频；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本地完成压缩、语音转写和初步行为候选检测；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完整视频只做一次低分辨率扫描；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仅将低置信度的10至30秒片段交给更强模型；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保存结构化事件和必要证据片段，按规则自动删除原始视频。</w:t>
      </w:r>
    </w:p>
    <w:p>
      <w:pPr>
        <w:pStyle w:val="Heading1"/>
      </w:pPr>
      <w:r>
        <w:t>十 推荐技术架构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1. 网站接收教案与课堂视频，并完成学生匿名编号。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2. 教案解析服务生成预期课堂节点和观察计划。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3. 本地或国内服务器完成视频压缩、音频提取、FunASR转写和基础动作检测。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4. Qwen3.8-Omni-Flash对齐教案、转写文本和视频，输出结构化事件候选。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5. 系统截取低置信度证据片段，进行二次模型分析。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6. 教师在时间轴界面确认或修改少量事件。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7. 规则引擎生成B1至B5得分、客观证据、修改建议和综合报告。</w:t>
      </w:r>
    </w:p>
    <w:p>
      <w:pPr>
        <w:pStyle w:val="Heading1"/>
      </w:pPr>
      <w:r>
        <w:t>十一 第一版MVP范围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第一版不追求全自动识别全班所有复杂行为，重点验证工具能否可靠地减少教师回看视频和填写证据的时间。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主要功能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阶段一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教案解析、视频上传、语音转写、人工点击关键事件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跑通完整业务流程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阶段二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AI自动识别课堂环节、指令和反应候选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降低教师标注负担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阶段三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动作检测、辅助等级判断、低置信度复核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提高自动化程度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阶段四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多课次比较、泛化跟踪和教具优化闭环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形成课题研究成果</w:t>
            </w:r>
          </w:p>
        </w:tc>
      </w:tr>
    </w:tbl>
    <w:p>
      <w:pPr>
        <w:spacing w:after="40"/>
      </w:pPr>
    </w:p>
    <w:p>
      <w:pPr>
        <w:pStyle w:val="Heading1"/>
      </w:pPr>
      <w:r>
        <w:t>十二 课题验证设计</w:t>
      </w:r>
    </w:p>
    <w:p>
      <w:pPr>
        <w:spacing w:after="140" w:line="348" w:lineRule="auto"/>
      </w:pPr>
      <w:r>
        <w:rPr>
          <w:rFonts w:ascii="Noto Sans SC" w:hAnsi="Noto Sans SC" w:eastAsia="Noto Sans SC"/>
          <w:color w:val="000000"/>
          <w:sz w:val="22"/>
        </w:rPr>
        <w:t>模型选择不应只看通用排行榜，应使用本课题自己的课堂样本进行盲测。建议先选10节课进行模型选型，再扩大到30至50节课验证工具有效性。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从每节课截取教师指令、提示后完成、回避行为和迁移任务等典型片段；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由两名特殊教育教师独立制作人工标准答案；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比较千问、Gemini和豆包的时间节点误差、语音准确率、事件漏检率、误报率、成本和处理时间；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正式研究中抽取20%至30%视频进行双人评分，计算AI与人工的一致性；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分别统计AI原始结果和教师确认后结果，说明人机协作带来的改进；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记录遮挡、多人同时说话、方言和细微动作等常见错误场景。</w:t>
      </w:r>
    </w:p>
    <w:p>
      <w:pPr>
        <w:pStyle w:val="Heading1"/>
      </w:pPr>
      <w:r>
        <w:t>十三 隐私与数据治理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取得学校审批和监护人单独书面授权；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学生使用S01、S02等编号，不把姓名写入模型请求；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优先选择境内服务器和境内模型服务；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不做人脸身份识别，不以面部表情直接推断情绪；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设置原始视频自动删除期限，只保留必要的结构化数据和脱敏证据片段；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建立查看、下载、删除和导出操作日志；</w:t>
      </w:r>
    </w:p>
    <w:p>
      <w:pPr>
        <w:pStyle w:val="ListBullet"/>
        <w:spacing w:after="80" w:line="312" w:lineRule="auto"/>
        <w:ind w:left="317" w:hanging="173"/>
      </w:pPr>
      <w:r>
        <w:rPr>
          <w:rFonts w:ascii="Noto Sans SC" w:hAnsi="Noto Sans SC" w:eastAsia="Noto Sans SC"/>
          <w:color w:val="000000"/>
          <w:sz w:val="22"/>
        </w:rPr>
        <w:t>使用境外模型前，对片段进行脱敏并完成数据合规评估。</w:t>
      </w:r>
    </w:p>
    <w:p>
      <w:pPr>
        <w:pStyle w:val="Heading1"/>
      </w:pPr>
      <w:r>
        <w:t>十四 当前建议的下一步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1. 确定教案解析字段和课堂事件数据结构。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2. 选择1节已有课堂视频，人工制作标准事件表。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3. 用Qwen3.8-Omni-Flash和Gemini分别进行同提示词测试。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4. 根据测试结果确定首版模型、视频分辨率和抽帧策略。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5. 在现有网站中先实现教案上传、视频上传、时间轴证据和教师确认界面。</w:t>
      </w:r>
    </w:p>
    <w:p>
      <w:pPr>
        <w:spacing w:after="100" w:line="312" w:lineRule="auto"/>
        <w:ind w:left="346" w:hanging="202"/>
      </w:pPr>
      <w:r>
        <w:rPr>
          <w:rFonts w:ascii="Noto Sans SC" w:hAnsi="Noto Sans SC" w:eastAsia="Noto Sans SC"/>
          <w:color w:val="000000"/>
          <w:sz w:val="22"/>
        </w:rPr>
        <w:t>6. 完成10节课小规模试验后，再决定是否增加第二机位和本地GPU部署。</w:t>
      </w:r>
    </w:p>
    <w:p>
      <w:pPr>
        <w:pStyle w:val="Heading1"/>
      </w:pPr>
      <w:r>
        <w:t>参考资料</w:t>
      </w:r>
    </w:p>
    <w:p>
      <w:pPr>
        <w:spacing w:after="60"/>
      </w:pPr>
      <w:r>
        <w:rPr>
          <w:rFonts w:ascii="Noto Sans SC" w:hAnsi="Noto Sans SC" w:eastAsia="Noto Sans SC"/>
          <w:color w:val="666666"/>
          <w:sz w:val="19"/>
        </w:rPr>
        <w:t>阿里云 Qwen Omni 官方文档 https://help.aliyun.com/zh/model-studio/qwen-omni</w:t>
      </w:r>
    </w:p>
    <w:p>
      <w:pPr>
        <w:spacing w:after="60"/>
      </w:pPr>
      <w:r>
        <w:rPr>
          <w:rFonts w:ascii="Noto Sans SC" w:hAnsi="Noto Sans SC" w:eastAsia="Noto Sans SC"/>
          <w:color w:val="666666"/>
          <w:sz w:val="19"/>
        </w:rPr>
        <w:t>Google Gemini 视频理解官方文档 https://ai.google.dev/gemini-api/docs/video-understanding</w:t>
      </w:r>
    </w:p>
    <w:p>
      <w:pPr>
        <w:spacing w:after="60"/>
      </w:pPr>
      <w:r>
        <w:rPr>
          <w:rFonts w:ascii="Noto Sans SC" w:hAnsi="Noto Sans SC" w:eastAsia="Noto Sans SC"/>
          <w:color w:val="666666"/>
          <w:sz w:val="19"/>
        </w:rPr>
        <w:t>Google Gemini API 价格 https://ai.google.dev/gemini-api/docs/pricing</w:t>
      </w:r>
    </w:p>
    <w:p>
      <w:pPr>
        <w:spacing w:after="60"/>
      </w:pPr>
      <w:r>
        <w:rPr>
          <w:rFonts w:ascii="Noto Sans SC" w:hAnsi="Noto Sans SC" w:eastAsia="Noto Sans SC"/>
          <w:color w:val="666666"/>
          <w:sz w:val="19"/>
        </w:rPr>
        <w:t>FunASR 开源项目 https://github.com/modelscope/FunASR</w:t>
      </w:r>
    </w:p>
    <w:p>
      <w:pPr>
        <w:spacing w:after="60"/>
      </w:pPr>
      <w:r>
        <w:rPr>
          <w:rFonts w:ascii="Noto Sans SC" w:hAnsi="Noto Sans SC" w:eastAsia="Noto Sans SC"/>
          <w:color w:val="666666"/>
          <w:sz w:val="19"/>
        </w:rPr>
        <w:t>MediaPipe 姿态识别文档 https://ai.google.dev/edge/mediapipe/solutions/vision/pose_landmarker</w:t>
      </w:r>
    </w:p>
    <w:p>
      <w:pPr>
        <w:spacing w:after="60"/>
      </w:pPr>
      <w:r>
        <w:rPr>
          <w:rFonts w:ascii="Noto Sans SC" w:hAnsi="Noto Sans SC" w:eastAsia="Noto Sans SC"/>
          <w:color w:val="666666"/>
          <w:sz w:val="19"/>
        </w:rPr>
        <w:t>中华人民共和国个人信息保护法 https://www.cac.gov.cn/2021-08/20/c_1631050028355286.htm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color w:val="666666"/>
        <w:sz w:val="17"/>
      </w:rPr>
      <w:t>特殊教育课堂AI评估工具方案总结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SC" w:hAnsi="Noto Sans SC" w:eastAsia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