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00" w:before="300" w:after="150"/>
        <w:jc w:val="center"/>
      </w:pPr>
      <w:r>
        <w:rPr>
          <w:rFonts w:ascii="Times New Roman" w:hAnsi="Times New Roman" w:eastAsia="黑体"/>
          <w:b/>
          <w:sz w:val="32"/>
        </w:rPr>
        <w:t>面向智慧物流的仓储管理系统</w:t>
      </w:r>
    </w:p>
    <w:p>
      <w:pPr>
        <w:spacing w:lineRule="auto" w:line="300" w:before="0" w:after="300"/>
        <w:jc w:val="center"/>
      </w:pPr>
      <w:r>
        <w:rPr>
          <w:rFonts w:ascii="Times New Roman" w:hAnsi="Times New Roman" w:eastAsia="黑体"/>
          <w:b/>
          <w:sz w:val="32"/>
        </w:rPr>
        <w:t>概要设计说明书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0.1　文档信息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项目</w:t>
            </w:r>
          </w:p>
        </w:tc>
        <w:tc>
          <w:tcPr>
            <w:tcW w:type="dxa" w:w="6803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文档名称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概要设计说明书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版本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v1.0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编制日期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 年 10 月 11 日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对应论文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 5 章 系统设计与实现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上游文档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《系统需求规格说明书》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下游文档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《数据库设计说明书》《算法设计说明书》《系统接口文档》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设计依据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毕业设计任务书 + 需求规格说明书 + 学校论文撰写规范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实现规模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 个控制器、68 个接口、18 张数据表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第一章　引言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1.1　编写目的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本文档依据《系统需求规格说明书》，给出面向智慧物流的仓储管理系统的概要设计，明确系统的总体结构、模块划分、核心组件职责、关键流程与部署方案，作为详细设计、编码实现与论文撰写的共同依据。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本文档不描述每个类与方法的实现细节，这些内容由《数据库设计说明书》、《算法设计说明书》与《系统接口文档》分别承担。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1.2　设计原则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（1）分层解耦：接口、业务、算法、数据访问四类职责严格分离，层间单向依赖，禁止接口层直接访问数据访问层；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（2）算法独立：算法内核不依赖 Web 框架与数据库组件，只依赖 Java 标准库，因此可脱离系统单独运行与测试，也便于与 Python 原型交叉验证；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（3）约定优于配置：统一响应体与统一异常处理，使各模块的接口行为一致；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（4）数据一致：涉及多表变更的业务操作（入库确认、出库确认、盘点调整、方案应用）均置于同一事务中，失败整体回滚；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（5）可复现：算法与实验均使用固定随机种子，结果可重复；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（6）外部化配置：数据库口令与令牌密钥不进入版本库，通过环境变量注入。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1.3　术语约定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本文档沿用《系统需求规格说明书》的术语。为便于阅读，再次说明三个核心概念：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1.1　核心概念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19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概念</w:t>
            </w:r>
          </w:p>
        </w:tc>
        <w:tc>
          <w:tcPr>
            <w:tcW w:type="dxa" w:w="6576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含义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货位与货位编号</w:t>
            </w:r>
          </w:p>
        </w:tc>
        <w:tc>
          <w:tcPr>
            <w:tcW w:type="dxa" w:w="65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货位是仓库中的最小存储单元；算法内部使用从 0 开始的下标，按“到出入口距离升序、距离相同按主键升序”编号，该顺序即算法与数据库之间的映射规则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目标函数</w:t>
            </w:r>
          </w:p>
        </w:tc>
        <w:tc>
          <w:tcPr>
            <w:tcW w:type="dxa" w:w="65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加权拣货行走距离 F = Σ(商品出库频次 × 该商品所在货位到出入口的距离)，单位为“米·次”，是货位分配效果的统一度量口径</w:t>
            </w:r>
          </w:p>
        </w:tc>
      </w:tr>
      <w:tr>
        <w:tc>
          <w:tcPr>
            <w:tcW w:type="dxa" w:w="19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拣货路径</w:t>
            </w:r>
          </w:p>
        </w:tc>
        <w:tc>
          <w:tcPr>
            <w:tcW w:type="dxa" w:w="65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从出入口出发遍历订单内全部拣货点再返回出入口的行走顺序，其行走距离按曼哈顿度量计算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第二章　总体设计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2.1　系统架构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系统采用前后端分离的 B/S 架构，后端按分层模式组织。整体结构自下而上分为数据层、数据访问层、算法内核层、业务实现层、接口层与表现层：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>表现层        Vue 3 前端（管理界面、库位平面图、路径可视化）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               ↓ HTTP / JSON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>接口层        Controller（参数校验、统一响应）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               ↓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>业务实现层    Service（业务规则、事务边界）  ←→  算法内核层（策略求解）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               ↓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>数据访问层    Mapper（MyBatis-Plus + 自定义 SQL）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               ↓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>数据层        MySQL 8.0（18 张表）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其中算法内核层同时被业务实现层与测试代码调用：业务实现层在入库推荐货位、出库规划路径、执行货位优化时调用它；测试代码用 Python 原型生成的黄金数据对它做交叉验证。这种安排使算法既不脱离业务，又能独立验证。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2.2　分层职责与实现规模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各层的职责与代码规模如下表。代码规模由源码自动统计，可随实现同步更新。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2.1　分层职责与代码规模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36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层次</w:t>
            </w:r>
          </w:p>
        </w:tc>
        <w:tc>
          <w:tcPr>
            <w:tcW w:type="dxa" w:w="124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包路径</w:t>
            </w:r>
          </w:p>
        </w:tc>
        <w:tc>
          <w:tcPr>
            <w:tcW w:type="dxa" w:w="7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文件数</w:t>
            </w:r>
          </w:p>
        </w:tc>
        <w:tc>
          <w:tcPr>
            <w:tcW w:type="dxa" w:w="90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代码行数</w:t>
            </w:r>
          </w:p>
        </w:tc>
        <w:tc>
          <w:tcPr>
            <w:tcW w:type="dxa" w:w="419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主要职责</w:t>
            </w:r>
          </w:p>
        </w:tc>
      </w:tr>
      <w:tr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接口层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controller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1156</w:t>
            </w:r>
          </w:p>
        </w:tc>
        <w:tc>
          <w:tcPr>
            <w:tcW w:type="dxa" w:w="419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接收 HTTP 请求、参数校验、组织响应</w:t>
            </w:r>
          </w:p>
        </w:tc>
      </w:tr>
      <w:tr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业务接口层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service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672</w:t>
            </w:r>
          </w:p>
        </w:tc>
        <w:tc>
          <w:tcPr>
            <w:tcW w:type="dxa" w:w="419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定义业务能力契约</w:t>
            </w:r>
          </w:p>
        </w:tc>
      </w:tr>
      <w:tr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业务实现层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service/impl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3108</w:t>
            </w:r>
          </w:p>
        </w:tc>
        <w:tc>
          <w:tcPr>
            <w:tcW w:type="dxa" w:w="419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业务规则、事务边界、算法调用</w:t>
            </w:r>
          </w:p>
        </w:tc>
      </w:tr>
      <w:tr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算法内核层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algorithm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653</w:t>
            </w:r>
          </w:p>
        </w:tc>
        <w:tc>
          <w:tcPr>
            <w:tcW w:type="dxa" w:w="419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货位分配与拣货路径策略，不依赖 Web 与数据库</w:t>
            </w:r>
          </w:p>
        </w:tc>
      </w:tr>
      <w:tr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数据访问层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mapper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885</w:t>
            </w:r>
          </w:p>
        </w:tc>
        <w:tc>
          <w:tcPr>
            <w:tcW w:type="dxa" w:w="419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MyBatis-Plus 映射与自定义 SQL</w:t>
            </w:r>
          </w:p>
        </w:tc>
      </w:tr>
      <w:tr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实体层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entity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2145</w:t>
            </w:r>
          </w:p>
        </w:tc>
        <w:tc>
          <w:tcPr>
            <w:tcW w:type="dxa" w:w="419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与数据库表一一对应</w:t>
            </w:r>
          </w:p>
        </w:tc>
      </w:tr>
      <w:tr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传输对象层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dto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1013</w:t>
            </w:r>
          </w:p>
        </w:tc>
        <w:tc>
          <w:tcPr>
            <w:tcW w:type="dxa" w:w="419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接口出入参，与实体解耦</w:t>
            </w:r>
          </w:p>
        </w:tc>
      </w:tr>
      <w:tr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公共层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common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108</w:t>
            </w:r>
          </w:p>
        </w:tc>
        <w:tc>
          <w:tcPr>
            <w:tcW w:type="dxa" w:w="419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统一响应、异常处理、工具类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2.3　模块划分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系统划分为 9 个业务模块与 1 个算法模块。模块之间通过业务数据关联，不直接调用彼此的内部方法，依赖关系尽量单向：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2.2　模块划分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序号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模块</w:t>
            </w:r>
          </w:p>
        </w:tc>
        <w:tc>
          <w:tcPr>
            <w:tcW w:type="dxa" w:w="4876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职责</w:t>
            </w:r>
          </w:p>
        </w:tc>
        <w:tc>
          <w:tcPr>
            <w:tcW w:type="dxa" w:w="124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对外接口数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用户与权限管理</w:t>
            </w:r>
          </w:p>
        </w:tc>
        <w:tc>
          <w:tcPr>
            <w:tcW w:type="dxa" w:w="48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登录认证、用户维护、角色与权限分配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仓库管理</w:t>
            </w:r>
          </w:p>
        </w:tc>
        <w:tc>
          <w:tcPr>
            <w:tcW w:type="dxa" w:w="48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仓库基本信息与布局参数维护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库位管理</w:t>
            </w:r>
          </w:p>
        </w:tc>
        <w:tc>
          <w:tcPr>
            <w:tcW w:type="dxa" w:w="48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库区与货位维护、货位批量生成、近端货位检索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商品管理</w:t>
            </w:r>
          </w:p>
        </w:tc>
        <w:tc>
          <w:tcPr>
            <w:tcW w:type="dxa" w:w="48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商品与分类维护、出库频次累计、ABC 分类计算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入库管理</w:t>
            </w:r>
          </w:p>
        </w:tc>
        <w:tc>
          <w:tcPr>
            <w:tcW w:type="dxa" w:w="48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入库单创建、货位推荐、入库确认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出库管理</w:t>
            </w:r>
          </w:p>
        </w:tc>
        <w:tc>
          <w:tcPr>
            <w:tcW w:type="dxa" w:w="48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出库单创建、就近货位分配、拣货路径规划、出库确认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库存管理</w:t>
            </w:r>
          </w:p>
        </w:tc>
        <w:tc>
          <w:tcPr>
            <w:tcW w:type="dxa" w:w="48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库存查询、缺货与临期预警、盘点与差异调整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货位优化</w:t>
            </w:r>
          </w:p>
        </w:tc>
        <w:tc>
          <w:tcPr>
            <w:tcW w:type="dxa" w:w="48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优化方案预览、保存、应用与效果统计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报表统计</w:t>
            </w:r>
          </w:p>
        </w:tc>
        <w:tc>
          <w:tcPr>
            <w:tcW w:type="dxa" w:w="48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作业量趋势、库存分布、算法效果统计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68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系统与算法支撑</w:t>
            </w:r>
          </w:p>
        </w:tc>
        <w:tc>
          <w:tcPr>
            <w:tcW w:type="dxa" w:w="4876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健康检查、算法求解与货位推荐</w:t>
            </w:r>
          </w:p>
        </w:tc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 + 3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说明：第 8 与第 10 项中部分接口共用一个控制器（货位分配算法接口同时服务于货位优化模块与入库模块的货位推荐），上表按业务归属分别列出。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2.4　技术选型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2.3　技术选型与理由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层次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技术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版本</w:t>
            </w:r>
          </w:p>
        </w:tc>
        <w:tc>
          <w:tcPr>
            <w:tcW w:type="dxa" w:w="453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选型理由</w:t>
            </w:r>
          </w:p>
        </w:tc>
      </w:tr>
      <w:tr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开发语言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Java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JDK 1.8</w:t>
            </w:r>
          </w:p>
        </w:tc>
        <w:tc>
          <w:tcPr>
            <w:tcW w:type="dxa" w:w="45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课程与任务书指定；生态成熟，企业应用广泛</w:t>
            </w:r>
          </w:p>
        </w:tc>
      </w:tr>
      <w:tr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应用框架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Spring Boot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2.7.18</w:t>
            </w:r>
          </w:p>
        </w:tc>
        <w:tc>
          <w:tcPr>
            <w:tcW w:type="dxa" w:w="45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 JDK 8 兼容性最好的稳定版本；自动装配降低配置量</w:t>
            </w:r>
          </w:p>
        </w:tc>
      </w:tr>
      <w:tr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持久层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MyBatis-Plus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3.5.7</w:t>
            </w:r>
          </w:p>
        </w:tc>
        <w:tc>
          <w:tcPr>
            <w:tcW w:type="dxa" w:w="45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 MyBatis 基础上提供通用 CRUD 与条件构造器，同时保留手写 SQL 的能力以应对复杂统计查询</w:t>
            </w:r>
          </w:p>
        </w:tc>
      </w:tr>
      <w:tr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连接池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Druid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1.2.22</w:t>
            </w:r>
          </w:p>
        </w:tc>
        <w:tc>
          <w:tcPr>
            <w:tcW w:type="dxa" w:w="45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内置监控与防 SQL 注入；初始连接 5、最大 50，支撑并发要求</w:t>
            </w:r>
          </w:p>
        </w:tc>
      </w:tr>
      <w:tr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MySQL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8.0.27</w:t>
            </w:r>
          </w:p>
        </w:tc>
        <w:tc>
          <w:tcPr>
            <w:tcW w:type="dxa" w:w="45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开源关系型数据库；InnoDB 支持事务与行级锁</w:t>
            </w:r>
          </w:p>
        </w:tc>
      </w:tr>
      <w:tr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令牌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jjwt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0.9.1</w:t>
            </w:r>
          </w:p>
        </w:tc>
        <w:tc>
          <w:tcPr>
            <w:tcW w:type="dxa" w:w="45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JWT 无状态认证，避免服务端维护会话</w:t>
            </w:r>
          </w:p>
        </w:tc>
      </w:tr>
      <w:tr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工具库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Hutool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5.8.25</w:t>
            </w:r>
          </w:p>
        </w:tc>
        <w:tc>
          <w:tcPr>
            <w:tcW w:type="dxa" w:w="45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简化加密、日期与字符串处理</w:t>
            </w:r>
          </w:p>
        </w:tc>
      </w:tr>
      <w:tr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接口文档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springdoc-openapi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1.7.0</w:t>
            </w:r>
          </w:p>
        </w:tc>
        <w:tc>
          <w:tcPr>
            <w:tcW w:type="dxa" w:w="45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基于注解生成在线接口说明，与代码同源</w:t>
            </w:r>
          </w:p>
        </w:tc>
      </w:tr>
      <w:tr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算法原型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Python + NumPy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3.12</w:t>
            </w:r>
          </w:p>
        </w:tc>
        <w:tc>
          <w:tcPr>
            <w:tcW w:type="dxa" w:w="45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便于快速实现与调参；作为 Java 实现的验证基准</w:t>
            </w:r>
          </w:p>
        </w:tc>
      </w:tr>
      <w:tr>
        <w:tc>
          <w:tcPr>
            <w:tcW w:type="dxa" w:w="124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Vue 3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5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组件化开发，适合管理类界面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2.5　运行环境与部署架构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系统采用单机部署，适用于中小型仓库场景。部署结构如下：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>浏览器（Vue 3 单页应用）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    │  HTTP :80 / :5173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    ▼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>Web 服务器 / 前端静态资源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    │  反向代理 /api/**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    ▼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>Spring Boot 应用（内嵌 Tomcat，:8080）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    │  JDBC（Druid 连接池）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    ▼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>MySQL 8.0（:3306，库名 wms）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应用以可执行 JAR 形式交付，启动命令为 java -jar wms-1.0.0.jar；数据库连接账号与令牌密钥通过环境变量注入，不写入代码库。</w:t>
      </w: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第三章　核心组件设计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3.1　统一响应体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所有接口共用同一响应结构，使前端可以用一套逻辑处理全部返回值：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>{ "code": 200, "message": "操作成功", "data": { ... }, "success": true, "timestamp": ... }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code 为业务状态码，同时作为 HTTP 状态码返回，这样前端既能用 HTTP 状态做统一拦截（如 401 跳转登录页），也能直接读取 message 展示提示。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3.2　统一异常处理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业务代码只抛出携带状态码与提示的 BusinessException，由全局异常处理器统一转换。处理器的关键设计是&lt;b&gt;按责任方区分日志级别&lt;/b&gt;：客户端原因（参数不合法、请求体格式错误、方法不支持、内容类型不支持）记警告；服务端未预期异常记错误并保留堆栈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3.1　异常与状态码映射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306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异常类型</w:t>
            </w:r>
          </w:p>
        </w:tc>
        <w:tc>
          <w:tcPr>
            <w:tcW w:type="dxa" w:w="90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HTTP</w:t>
            </w:r>
          </w:p>
        </w:tc>
        <w:tc>
          <w:tcPr>
            <w:tcW w:type="dxa" w:w="79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业务码</w:t>
            </w:r>
          </w:p>
        </w:tc>
        <w:tc>
          <w:tcPr>
            <w:tcW w:type="dxa" w:w="907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日志级别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30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BusinessException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按自带的码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同左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警告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业务规则不满足，如库存不足、编码重复</w:t>
            </w:r>
          </w:p>
        </w:tc>
      </w:tr>
      <w:tr>
        <w:tc>
          <w:tcPr>
            <w:tcW w:type="dxa" w:w="30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MethodArgumentNotValidException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警告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请求体字段校验失败</w:t>
            </w:r>
          </w:p>
        </w:tc>
      </w:tr>
      <w:tr>
        <w:tc>
          <w:tcPr>
            <w:tcW w:type="dxa" w:w="30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BindException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警告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表单参数绑定失败</w:t>
            </w:r>
          </w:p>
        </w:tc>
      </w:tr>
      <w:tr>
        <w:tc>
          <w:tcPr>
            <w:tcW w:type="dxa" w:w="30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HttpMessageNotReadableException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警告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请求体不是合法 JSON</w:t>
            </w:r>
          </w:p>
        </w:tc>
      </w:tr>
      <w:tr>
        <w:tc>
          <w:tcPr>
            <w:tcW w:type="dxa" w:w="30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MissingServletRequestParameterException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400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警告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缺少必填参数</w:t>
            </w:r>
          </w:p>
        </w:tc>
      </w:tr>
      <w:tr>
        <w:tc>
          <w:tcPr>
            <w:tcW w:type="dxa" w:w="30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HttpRequestMethodNotSupportedException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405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405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警告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请求方法不支持</w:t>
            </w:r>
          </w:p>
        </w:tc>
      </w:tr>
      <w:tr>
        <w:tc>
          <w:tcPr>
            <w:tcW w:type="dxa" w:w="30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HttpMediaTypeNotSupportedException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415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415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警告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内容类型不支持</w:t>
            </w:r>
          </w:p>
        </w:tc>
      </w:tr>
      <w:tr>
        <w:tc>
          <w:tcPr>
            <w:tcW w:type="dxa" w:w="30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 Exception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type="dxa" w:w="79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500</w:t>
            </w:r>
          </w:p>
        </w:tc>
        <w:tc>
          <w:tcPr>
            <w:tcW w:type="dxa" w:w="907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错误</w:t>
            </w:r>
          </w:p>
        </w:tc>
        <w:tc>
          <w:tcPr>
            <w:tcW w:type="dxa" w:w="283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未预期异常，不向前端暴露堆栈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3.3　认证与权限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认证采用 JWT 无状态方案：登录接口校验口令后签发令牌，令牌内含用户名与有效期（默认 12 小时）。客户端在请求头以 Authorization: Bearer &amp;lt;token&amp;gt; 携带，服务端解析并校验签名与有效期。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口令存储采用加盐迭代哈希（PBKDF2），同一口令两次加密结果不同，数据库中不保存明文。角色与权限采用“用户—角色—权限”三表关联模型，登录响应返回该用户的角色与权限编码列表，前端据此控制按钮显隐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3.4　算法内核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算法内核是本系统的设计重点。它只依赖 Java 标准库，不引入 Web 或数据库依赖，因此具备三个特性：可独立单元测试、可与 Python 原型交叉验证、可被多个业务模块复用。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内核由三部分组成：仓库布局模型（负责坐标与曼哈顿距离计算）、算例模型（负责商品频次画像与 ABC 分类推导）、策略族（负责求解）。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3.2　货位分配策略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策略编码</w:t>
            </w:r>
          </w:p>
        </w:tc>
        <w:tc>
          <w:tcPr>
            <w:tcW w:type="dxa" w:w="136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名称</w:t>
            </w:r>
          </w:p>
        </w:tc>
        <w:tc>
          <w:tcPr>
            <w:tcW w:type="dxa" w:w="419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思想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复杂度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random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随机分配</w:t>
            </w:r>
          </w:p>
        </w:tc>
        <w:tc>
          <w:tcPr>
            <w:tcW w:type="dxa" w:w="419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在全部货位中随机指定，作为效果对照基线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O(n)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frequency-greedy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频次贪心</w:t>
            </w:r>
          </w:p>
        </w:tc>
        <w:tc>
          <w:tcPr>
            <w:tcW w:type="dxa" w:w="419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商品按频次降序、货位按距离升序逐一配对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O(n log n)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abc-greedy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ABC 分区贪心</w:t>
            </w:r>
          </w:p>
        </w:tc>
        <w:tc>
          <w:tcPr>
            <w:tcW w:type="dxa" w:w="419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先按 ABC 分类划分近中远分区，再在类内按频次配对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O(n log n)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genetic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遗传算法</w:t>
            </w:r>
          </w:p>
        </w:tc>
        <w:tc>
          <w:tcPr>
            <w:tcW w:type="dxa" w:w="419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整数编码 + 锦标赛选择 + 均匀交叉 + 变异 + 精英保留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O(G·P·n)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3.3　拣货路径策略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81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策略编码</w:t>
            </w:r>
          </w:p>
        </w:tc>
        <w:tc>
          <w:tcPr>
            <w:tcW w:type="dxa" w:w="136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名称</w:t>
            </w:r>
          </w:p>
        </w:tc>
        <w:tc>
          <w:tcPr>
            <w:tcW w:type="dxa" w:w="4195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思想</w:t>
            </w:r>
          </w:p>
        </w:tc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复杂度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s-shape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 型穿越</w:t>
            </w:r>
          </w:p>
        </w:tc>
        <w:tc>
          <w:tcPr>
            <w:tcW w:type="dxa" w:w="419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依次穿越含拣货点的巷道，方向交替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O(n log n)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largest-gap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最大间隙</w:t>
            </w:r>
          </w:p>
        </w:tc>
        <w:tc>
          <w:tcPr>
            <w:tcW w:type="dxa" w:w="419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在巷道内最大间隙处折返，减少无效穿越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O(n log n)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nearest-neighbor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最近邻</w:t>
            </w:r>
          </w:p>
        </w:tc>
        <w:tc>
          <w:tcPr>
            <w:tcW w:type="dxa" w:w="419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每次选择距当前位置最近的未访问拣货点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O(n²)</w:t>
            </w:r>
          </w:p>
        </w:tc>
      </w:tr>
      <w:tr>
        <w:tc>
          <w:tcPr>
            <w:tcW w:type="dxa" w:w="181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ant-colony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蚁群算法</w:t>
            </w:r>
          </w:p>
        </w:tc>
        <w:tc>
          <w:tcPr>
            <w:tcW w:type="dxa" w:w="4195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信息素 + 启发式信息构造解，精英策略强化最优路径</w:t>
            </w:r>
          </w:p>
        </w:tc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O(I·A·n²)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遗传算法的默认参数为种群 80、迭代 300、交叉率 0.9、变异率 0.15、锦标赛规模 3、精英数 2；蚁群算法默认蚂蚁 25、迭代 80、alpha = 1.0、beta = 3.0、挥发率 0.4、信息素强度 100、精英数 2。参数含义与取值依据见《算法设计说明书》。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3.5　算法与业务的映射规则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算法在抽象的货位编号上求解，业务数据存放在数据库的货位表中，两者必须严格对应，否则求解结果无法落库与执行。本系统采用如下确定性映射规则：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（1）货位编号：同一仓库内的货位按“到出入口距离升序、距离相同按主键升序”排列，编号 k 即该序列中的第 k 个货位；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（2）商品编号：全部商品按主键升序排列，编号 i 对应第 i 个商品；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（3）距离口径：算法内部用 aisleGap × x + rowGap × y 计算距离，与货位生成时写入数据库的 distance 字段使用同一公式，因此二者数值一致。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这三条规则保证了“算法解 → 真实货位”的转换是确定且可复现的，也使论文中的实验数据与系统运行时的计算结果可以相互印证。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3.6　控制器清单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3.4　控制器与接口数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3402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控制器</w:t>
            </w:r>
          </w:p>
        </w:tc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接口数</w:t>
            </w:r>
          </w:p>
        </w:tc>
      </w:tr>
      <w:tr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AuthController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CategoryController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HealthController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InboundController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</w:tr>
      <w:tr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LocationController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OutboundController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ProductController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ReportController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SlottingController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StockController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UserController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WarehouseController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34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合计</w:t>
            </w:r>
          </w:p>
        </w:tc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68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第四章　核心流程设计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4.1　入库流程（算法推荐货位）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入库流程把货位分配算法嵌入业务操作，是系统由“记录工具”变为“决策支持工具”的第一个落点。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>仓管员                入库服务              算法内核              数据库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创建入库单        │                     │                   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├───────────────────&gt;│                     │                   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│ 校验仓库与明细      │                   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├─────────────────────────────────────────&gt;│ 查询商品/货位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│ 生成单号 IN+日期+流水号                 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├─────────────────────────────────────────&gt;│ 写入单据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useSlottingSuggest=true                 │                   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│ 构造算例（布局+频次）│                  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├────────────────────&gt;│                   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│                     │ 按频次降序 × 距离升序配对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│&lt;────────────────────┤ 返回目标值与分配方案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│ 映射为真实货位并写入推荐理由            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├─────────────────────────────────────────&gt;│ 写入明细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返回单据与推荐货位 │                     │                   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│&lt;───────────────────┤                     │                    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关键设计：&lt;b&gt;人工指定优先于算法推荐&lt;/b&gt;。明细行若已填写货位，算法不再覆盖；算法不可用（例如无空闲货位）时只记录警告，不阻塞单据创建，保证业务连续性。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入库确认时在&lt;b&gt;同一事务&lt;/b&gt;内完成四件事：写入或累加库存、把货位置为占用、记录实收数量、把单据置为已完成。任何一步失败整体回滚，避免出现“库存增加了但货位未占用”这类不一致状态。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4.2　出库流程（就近分配 + 拣货路径规划）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出库流程是算法的第二个落点，分为分配与规划两个阶段：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>仓管员                出库服务              算法内核              数据库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创建出库单        │                     │                   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├───────────────────&gt;│                     │                   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│ 查该商品全部库存    │                   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├─────────────────────────────────────────&gt;│ 查询库存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│ 按货位到出入口距离升序依次扣减（就近出库）│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│ 库存不足则返回具体差额                  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├─────────────────────────────────────────&gt;│ 写入明细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规划拣货路径       │                     │                   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├───────────────────&gt;│ 汇总订单拣货点坐标  │                   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├────────────────────&gt;│                   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│                     │ 四种策略分别求解并对比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│&lt;────────────────────┤ 返回顺序与总距离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│ 顺序写回明细 pick_seq，距离与算法写入单据 │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│                    ├─────────────────────────────────────────&gt;│ 更新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就近出库的意义：同一商品的库存可能分布在多个货位，优先从离出入口最近的货位出库，可以缩短该次拣货的行走距离，同时使近端货位更快周转。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出库确认时在同一事务内扣减库存、释放已清空的货位、标记明细已拣，并&lt;b&gt;累加商品出库频次&lt;/b&gt;——频次正是货位分配算法的输入，由此形成“业务运行 → 频次更新 → 算法优化”的数据闭环。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4.3　货位优化方案流程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货位优化面向全局，处理“商品应该放在哪里”的问题，流程分为预览、保存、应用三步：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预览：求解优化方案 → 计算当前实际布局的目标值 → 对比得出降幅与搬迁清单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保存：把方案编号、策略、参数、前后目标值、降幅与分配明细写入方案表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应用：按方案把库存记录搬迁到目标货位，并在同一事务内重算货位占用状态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“当前目标值”取自库存表的实际数据（商品实际所在货位 × 其出库频次），“优化后目标值”取自算法求解结果，两者口径一致，因此降幅具有可比性。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应用阶段的实现要点：搬迁过程中&lt;b&gt;不逐条维护货位状态&lt;/b&gt;。因为“商品 A 的原货位”可能正是“商品 B 的目标货位”，若在循环内立即释放原货位，会把另一个商品刚占用的货位错误置为空闲。正确做法是循环内只搬数据，循环结束后按最终库存统一重算该仓库的货位占用状态。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此外，为避免同一商品的多个批次争抢同一个目标货位，应用时只搬迁数量最大的一条库存记录，其余批次保持原位，并在返回结果中明确提示，需要人工处理的批次不会被静默忽略。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4.4　库存盘点流程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盘点用于校正账面库存与实物库存的差异，流程为：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>生成盘点单（以当前库存为账面数量）→ 录入实盘数量 → 计算差异 → 可选地调整库存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调整库存时在同一事务内：按实盘数量更新或删除库存记录、同步货位占用状态、把盘点记录标记为已调整。已调整的盘点单不能重复提交或撤销，保证库存变动有据可查、不可追溯地篡改。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4.5　货位批量生成流程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货位数据是算法的基础输入，系统提供按仓库布局批量生成的能力：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>读取仓库布局（巷道数 X、纵深数 Y、巷道间距 a、纵深间距 b）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↓ 生成 X × Y 个货位，坐标 (x, y)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>计算 distance = a × x + b × y（与算法内核同一公式）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 xml:space="preserve">  ↓ 按距离阈值划分 A/B/C 库区</w:t>
      </w:r>
    </w:p>
    <w:p>
      <w:pPr>
        <w:spacing w:lineRule="auto" w:line="300" w:before="0" w:after="60"/>
        <w:jc w:val="left"/>
      </w:pPr>
      <w:r>
        <w:rPr>
          <w:rFonts w:ascii="Consolas" w:hAnsi="Consolas" w:eastAsia="宋体"/>
          <w:b w:val="0"/>
          <w:sz w:val="20"/>
        </w:rPr>
        <w:t>批量写入并按坐标去重（重复调用不会产生重复货位）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生成过程具有幂等性：已存在的坐标默认跳过，需要重建时可显式指定覆盖。单次最多生成 200 × 200 个货位，超过则拒绝，防止误操作拖垮数据库。</w:t>
      </w: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第五章　数据库与部署设计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5.1　数据库总体设计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数据库共 18 张表，按用途分为四类：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5.1　数据表分类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113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类别</w:t>
            </w:r>
          </w:p>
        </w:tc>
        <w:tc>
          <w:tcPr>
            <w:tcW w:type="dxa" w:w="3628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表名</w:t>
            </w:r>
          </w:p>
        </w:tc>
        <w:tc>
          <w:tcPr>
            <w:tcW w:type="dxa" w:w="3742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用途</w:t>
            </w:r>
          </w:p>
        </w:tc>
      </w:tr>
      <w:tr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系统管理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sys_user、sys_role、sys_permission、sys_user_role、sys_role_permission、sys_operation_log</w:t>
            </w:r>
          </w:p>
        </w:tc>
        <w:tc>
          <w:tcPr>
            <w:tcW w:type="dxa" w:w="374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用户、角色、权限及关联关系与操作日志</w:t>
            </w:r>
          </w:p>
        </w:tc>
      </w:tr>
      <w:tr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基础数据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base_warehouse、base_zone、base_location、base_category、base_product</w:t>
            </w:r>
          </w:p>
        </w:tc>
        <w:tc>
          <w:tcPr>
            <w:tcW w:type="dxa" w:w="374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仓库布局、库区、货位、商品分类与商品主数据</w:t>
            </w:r>
          </w:p>
        </w:tc>
      </w:tr>
      <w:tr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业务单据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biz_inbound_order、biz_inbound_item、biz_outbound_order、biz_outbound_item、biz_stocktake、biz_slotting_plan</w:t>
            </w:r>
          </w:p>
        </w:tc>
        <w:tc>
          <w:tcPr>
            <w:tcW w:type="dxa" w:w="374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入库、出库、盘点单及其明细，以及货位优化方案</w:t>
            </w:r>
          </w:p>
        </w:tc>
      </w:tr>
      <w:tr>
        <w:tc>
          <w:tcPr>
            <w:tcW w:type="dxa" w:w="113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库存</w:t>
            </w:r>
          </w:p>
        </w:tc>
        <w:tc>
          <w:tcPr>
            <w:tcW w:type="dxa" w:w="3628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inv_stock</w:t>
            </w:r>
          </w:p>
        </w:tc>
        <w:tc>
          <w:tcPr>
            <w:tcW w:type="dxa" w:w="374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商品在货位上的实时库存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表结构的字段定义、索引与约束详见《数据库设计说明书》。此处仅说明三条贯穿全库的设计约定：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（1）逻辑删除：业务表统一使用 deleted 标记，查询自动过滤，避免误删导致历史单据丢失；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（2）单据唯一：单号（入库单、出库单、盘点单、优化方案）均建立唯一约束，防止重复提交产生孪生单据；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（3）明细唯一：单据明细的唯一约束按“单号 + 对象”组合，例如盘点明细为“单号 + 货位 + 商品”。若错误地对单号单独建唯一约束，一张单据就只能有一条明细，插入第二条即报重复键错误。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5.2　部署设计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系统为单机部署，组件与端口如下：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5.2　部署组件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3024"/>
        <w:gridCol w:w="3024"/>
        <w:gridCol w:w="3024"/>
      </w:tblGrid>
      <w:tr>
        <w:tc>
          <w:tcPr>
            <w:tcW w:type="dxa" w:w="204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组件</w:t>
            </w:r>
          </w:p>
        </w:tc>
        <w:tc>
          <w:tcPr>
            <w:tcW w:type="dxa" w:w="136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端口</w:t>
            </w:r>
          </w:p>
        </w:tc>
        <w:tc>
          <w:tcPr>
            <w:tcW w:type="dxa" w:w="5102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MySQL 8.0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3306</w:t>
            </w:r>
          </w:p>
        </w:tc>
        <w:tc>
          <w:tcPr>
            <w:tcW w:type="dxa" w:w="51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数据库服务，字符集 utf8mb4，存储引擎 InnoDB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Spring Boot 应用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8080</w:t>
            </w:r>
          </w:p>
        </w:tc>
        <w:tc>
          <w:tcPr>
            <w:tcW w:type="dxa" w:w="51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内嵌 Tomcat，提供全部 REST 接口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前端静态资源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80 或 5173</w:t>
            </w:r>
          </w:p>
        </w:tc>
        <w:tc>
          <w:tcPr>
            <w:tcW w:type="dxa" w:w="51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开发态由 Vite 提供，生产态由 Nginx 托管</w:t>
            </w:r>
          </w:p>
        </w:tc>
      </w:tr>
      <w:tr>
        <w:tc>
          <w:tcPr>
            <w:tcW w:type="dxa" w:w="204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接口文档（在线）</w:t>
            </w:r>
          </w:p>
        </w:tc>
        <w:tc>
          <w:tcPr>
            <w:tcW w:type="dxa" w:w="136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8080</w:t>
            </w:r>
          </w:p>
        </w:tc>
        <w:tc>
          <w:tcPr>
            <w:tcW w:type="dxa" w:w="5102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springdoc-openapi 生成的 /swagger-ui 页面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启动顺序：先启动数据库，再启动后端应用，最后访问前端。应用提供健康检查接口 /api/health，一次调用即可确认“应用已启动 + 数据库连通 + 表结构已导入”，可用于部署自检与演示前检查。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5.3　安全设计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5.3　安全措施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1701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措施</w:t>
            </w:r>
          </w:p>
        </w:tc>
        <w:tc>
          <w:tcPr>
            <w:tcW w:type="dxa" w:w="6803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实现方式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口令保护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PBKDF2 加盐迭代哈希存储，数据库中无明文口令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身份认证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JWT 无状态令牌，默认有效期 12 小时，支持环境变量配置密钥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权限控制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用户—角色—权限三级模型，登录响应返回权限编码供前端控制按钮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敏感配置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数据库口令与令牌密钥通过环境变量注入，不进入版本库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信息不泄露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登录失败不区分“账号不存在”与“口令错误”；用户查询接口不返回口令字段；异常响应不返回堆栈</w:t>
            </w:r>
          </w:p>
        </w:tc>
      </w:tr>
      <w:tr>
        <w:tc>
          <w:tcPr>
            <w:tcW w:type="dxa" w:w="1701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参数校验</w:t>
            </w:r>
          </w:p>
        </w:tc>
        <w:tc>
          <w:tcPr>
            <w:tcW w:type="dxa" w:w="6803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接口层校验必填项与取值范围，业务层校验业务规则，数据库层用约束兜底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5.4　性能设计</w:t>
      </w:r>
    </w:p>
    <w:p>
      <w:pPr>
        <w:spacing w:lineRule="auto" w:line="300" w:before="0" w:after="0"/>
        <w:jc w:val="center"/>
      </w:pPr>
      <w:r>
        <w:rPr>
          <w:rFonts w:ascii="Times New Roman" w:hAnsi="Times New Roman" w:eastAsia="宋体"/>
          <w:b w:val="0"/>
          <w:sz w:val="21"/>
        </w:rPr>
        <w:t>表 5.4　性能措施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one" w:sz="0"/>
          <w:right w:val="none" w:sz="0"/>
          <w:insideH w:val="none" w:sz="0"/>
          <w:insideV w:val="none" w:sz="0"/>
        </w:tblBorders>
      </w:tblPr>
      <w:tblGrid>
        <w:gridCol w:w="4536"/>
        <w:gridCol w:w="4536"/>
      </w:tblGrid>
      <w:tr>
        <w:tc>
          <w:tcPr>
            <w:tcW w:type="dxa" w:w="1474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措施</w:t>
            </w:r>
          </w:p>
        </w:tc>
        <w:tc>
          <w:tcPr>
            <w:tcW w:type="dxa" w:w="7030"/>
            <w:tcBorders>
              <w:bottom w:val="single" w:sz="8" w:color="000000"/>
            </w:tcBorders>
          </w:tcPr>
          <w:p>
            <w:pPr>
              <w:spacing w:lineRule="auto" w:line="300" w:before="0" w:after="0"/>
              <w:jc w:val="center"/>
            </w:pPr>
            <w:r/>
            <w:r>
              <w:rPr>
                <w:rFonts w:ascii="Times New Roman" w:hAnsi="Times New Roman" w:eastAsia="黑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连接池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Druid 初始连接 5、最大 50，支撑并发访问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索引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货位距离、商品出库频次、单据状态与时间等高频查询字段建立索引；“按距离取近端空闲货位”这一算法高频查询可直接命中索引，无需全表排序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批量写入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货位批量生成采用分批插入，避免拼接超长 SQL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限流保护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单次货位生成上限 200 × 200；列表类接口设置返回条数上限</w:t>
            </w:r>
          </w:p>
        </w:tc>
      </w:tr>
      <w:tr>
        <w:tc>
          <w:tcPr>
            <w:tcW w:type="dxa" w:w="1474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算法降级</w:t>
            </w:r>
          </w:p>
        </w:tc>
        <w:tc>
          <w:tcPr>
            <w:tcW w:type="dxa" w:w="7030"/>
          </w:tcPr>
          <w:p>
            <w:pPr>
              <w:spacing w:lineRule="auto" w:line="300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拣货点较多时可选用计算更快的策略，保证响应时间</w:t>
            </w:r>
          </w:p>
        </w:tc>
      </w:tr>
    </w:tbl>
    <w:p>
      <w:pPr>
        <w:spacing w:lineRule="auto" w:line="300" w:before="0" w:after="0"/>
      </w:pPr>
    </w:p>
    <w:p>
      <w:pPr>
        <w:spacing w:lineRule="auto" w:line="300" w:before="150" w:after="150"/>
        <w:jc w:val="center"/>
      </w:pPr>
      <w:r>
        <w:rPr>
          <w:rFonts w:ascii="Times New Roman" w:hAnsi="Times New Roman" w:eastAsia="黑体"/>
          <w:b/>
          <w:sz w:val="36"/>
        </w:rPr>
        <w:t>第六章　设计约束与可扩展性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6.1　当前设计的约束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（1）服务单一仓库：系统按单仓库场景设计，暂不支持多仓库并行与跨仓调拨；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（2）一货位一商品：同一货位在同一时刻只存放一个商品（允许多批次），这与算法“商品与货位一一配对”的建模一致；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（3）规则网格布局：货位按巷道与纵深规则排列，行走距离按曼哈顿度量计算，未考虑不规则仓库与障碍物；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（4）静态频次：出库频次由历史出库记录累计，算法按当前频次求解，不做需求预测。</w:t>
      </w:r>
    </w:p>
    <w:p>
      <w:pPr>
        <w:spacing w:lineRule="auto" w:line="300" w:before="150" w:after="150"/>
        <w:jc w:val="left"/>
      </w:pPr>
      <w:r>
        <w:rPr>
          <w:rFonts w:ascii="Times New Roman" w:hAnsi="Times New Roman" w:eastAsia="黑体"/>
          <w:b/>
          <w:sz w:val="28"/>
        </w:rPr>
        <w:t>6.2　可扩展方向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（1）多仓库：在仓库相关表中补充分仓字段与数据权限，即可扩展为多仓场景；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（2）需求预测：把静态频次替换为基于时间序列的预测频次，使优化具备前瞻性；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（3）容量约束：当前模型假设一货位一商品且不设容量上限，可引入容量与重量约束，使问题更贴近实际（算法侧需相应扩展目标函数与约束处理）；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（4）新策略：算法内核采用策略模式与工厂注册，新增分配或路径策略只需实现接口并在工厂登记，无需改动业务代码；</w:t>
      </w:r>
    </w:p>
    <w:p>
      <w:pPr>
        <w:spacing w:lineRule="auto" w:line="300" w:before="0" w:after="0"/>
        <w:ind w:firstLineChars="200"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（5）实时可视化：货位平面图与拣货路径已在接口层返回坐标序列，前端可直接绘制，后续可扩展为动效演示。</w:t>
      </w:r>
    </w:p>
    <w:sectPr w:rsidR="00FC693F" w:rsidRPr="0006063C" w:rsidSect="00034616">
      <w:pgSz w:w="11906" w:h="16838"/>
      <w:pgMar w:top="1701" w:right="1417" w:bottom="1417" w:left="1417" w:header="1134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