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2C37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AI 系统安全加固与权限管理规范</w:t>
      </w:r>
    </w:p>
    <w:p w14:paraId="1C53D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：v1.0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更新日期</w:t>
      </w:r>
      <w:r>
        <w:rPr>
          <w:rFonts w:ascii="Arial" w:hAnsi="Arial" w:eastAsia="等线" w:cs="Arial"/>
          <w:sz w:val="22"/>
        </w:rPr>
        <w:t>：2026 年 5 月 4 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：企业级 AI 训练与推理集群，覆盖 NVIDIA GPU 基础设施、Kubernetes 容器平台、MLOps 工具链、大模型训练与推理服务全栈，兼容 MLflow 2.10+、DVC 3.0+、vLLM 0.4.0-0.5.0、Triton 24.03-24.05，支持等保 2.0 三级及以上合规要求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文档目的</w:t>
      </w:r>
      <w:r>
        <w:rPr>
          <w:rFonts w:ascii="Arial" w:hAnsi="Arial" w:eastAsia="等线" w:cs="Arial"/>
          <w:sz w:val="22"/>
        </w:rPr>
        <w:t>：建立标准化的 AI 系统安全防护体系，覆盖基础设施、数据、模型、应用全生命周期的安全加固与权限管控，防范数据泄露、模型窃取、对抗攻击、未授权访问等安全风险，保障 AI 系统的机密性、完整性和可用性</w:t>
      </w:r>
    </w:p>
    <w:p w14:paraId="5D07336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一、基本概念与安全原则</w:t>
      </w:r>
      <w:bookmarkEnd w:id="0"/>
    </w:p>
    <w:p w14:paraId="032F6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系统安全是传统 IT 安全与 AI 特有安全风险的结合，除了传统的基础设施安全、网络安全和应用安全外，还面临数据投毒、模型窃取、对抗样本攻击、prompt 注入、生成内容有害性等 AI 特有的安全挑战。AI 系统安全加固遵循纵深防御原则，在基础设施、平台、数据、模型、应用多个层面构建多层防护体系，任何一层被突破后，其他层仍能提供有效防护。最小权限原则是权限管理的核心，所有用户和服务仅被授予完成其工作所必需的最小权限，避免权限过度集中和滥用。持续监控原则要求对 AI 系统的所有操作和行为进行实时监控和审计，及时发现和响应安全事件。合规性原则确保 AI 系统的建设和运行符合国家法律法规和行业标准的要求，包括数据安全法、个人信息保护法、生成式人工智能服务管理暂行办法等。</w:t>
      </w:r>
    </w:p>
    <w:p w14:paraId="27467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完整的 AI 安全体系由安全防护、安全监控、安全审计和应急响应四个部分组成。安全防护通过技术和管理手段预防安全事件的发生，是安全体系的基础；安全监控实时监测系统的运行状态和安全事件，及时发现异常行为；安全审计记录所有的操作和事件，为事后追溯和责任认定提供依据；应急响应在安全事件发生时快速处置，降低事件造成的损失。四个部分相互配合，形成闭环的安全管理体系。</w:t>
      </w:r>
    </w:p>
    <w:p w14:paraId="258393F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二、基础设施层安全加固</w:t>
      </w:r>
      <w:bookmarkEnd w:id="1"/>
    </w:p>
    <w:p w14:paraId="361F6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基础设施是 AI 系统的底层支撑，其安全是整个 AI 系统安全的基础。GPU 服务器安全加固首先从硬件和固件层面入手，定期更新服务器 BIOS、BMC 和 GPU 固件，修复已知的安全漏洞。禁用服务器上不必要的硬件接口和服务，如 USB 接口、串口、FTP、Telnet 等，减少攻击面。设置强密码策略和多因素认证，限制 BMC 和 SSH 的访问 IP 范围，仅允许授权的运维人员访问。操作系统层面，使用经过安全加固的 Linux 发行版，如 Ubuntu Server LTS 或 RHEL，关闭不必要的系统服务，删除默认用户和弱密码。配置系统防火墙，只开放必要的端口，如 SSH 的 22 端口、Kubernetes 的 6443 端口等。启用系统日志审计功能，记录所有的系统登录、命令执行和文件操作。</w:t>
      </w:r>
    </w:p>
    <w:p w14:paraId="25E16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 设备安全是 AI 基础设施特有的安全需求，启用 NVIDIA GPU 的 ECC 错误校验功能，防止内存错误导致的数据篡改。使用 MIG（多实例 GPU）技术将物理 GPU 分割为多个独立的逻辑 GPU 实例，为不同的用户和任务分配独立的 GPU 资源，实现 GPU 资源的隔离，防止不同任务之间的信息泄露和干扰。禁用 GPU 的调试接口和性能计数器，防止攻击者通过这些接口窃取模型参数和敏感数据。定期运行 DCGM 诊断工具检查 GPU 的健康状态和安全漏洞，及时发现和处理硬件级别的安全问题。</w:t>
      </w:r>
    </w:p>
    <w:p w14:paraId="0F35C0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集群安全加固覆盖控制平面、节点和 Pod 三个层面。控制平面层面，启用 API Server 的 TLS 加密和认证授权，使用 RBAC（基于角色的访问控制）管理用户和服务账户的权限，禁用匿名访问和不安全的端口。加密 etcd 数据库，存储集群的所有配置和状态信息，防止敏感数据泄露。定期备份 etcd 数据，确保在集群故障时能够快速恢复。节点层面，关闭节点上不必要的端口和服务，配置节点防火墙，限制 Pod 之间的网络通信。启用 Kubernetes 的 Node Restriction 准入控制器，限制 kubelet 的权限，防止节点被攻陷后影响整个集群。使用安全的容器镜像，避免使用带有漏洞的基础镜像，定期扫描容器镜像的安全漏洞。Pod 层面，配置 Pod 的安全上下文，设置非 root 用户运行容器，禁用特权模式，限制容器的系统调用和文件系统访问权限。使用 Network Policy 定义 Pod 之间的网络通信规则，实现 Pod 之间的网络隔离，默认拒绝所有未明确允许的通信。</w:t>
      </w:r>
    </w:p>
    <w:p w14:paraId="065285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网络安全加固采用网络分段的方式，将 AI 集群划分为不同的安全区域，包括管理区、训练区、推理区和存储区，不同区域之间通过防火墙进行隔离。管理区仅允许运维人员访问，训练区和推理区之间限制不必要的通信，存储区仅允许授权的服务访问。所有网络通信都采用加密传输，包括 SSH、HTTPS、gRPC 等协议，使用 TLS 1.3 及以上版本，禁用不安全的加密算法和协议。对于分布式训练使用的 InfiniBand 和 RoCE 网络，启用网络隔离和访问控制，防止未授权的设备接入网络。配置网络流量监控和入侵检测系统，实时监测网络中的异常流量和攻击行为。</w:t>
      </w:r>
    </w:p>
    <w:p w14:paraId="47EB0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存储安全加固确保数据在存储和传输过程中的机密性和完整性。所有敏感数据，包括训练数据、模型权重和用户数据，都采用 AES-256 算法进行加密存储，加密密钥由专门的密钥管理系统（KMS）进行管理，定期轮换密钥。启用存储系统的访问控制功能，基于用户和角色设置不同的访问权限，禁止匿名访问和公共读写权限。配置存储系统的日志审计功能，记录所有的数据访问和修改操作。定期备份数据，备份数据与生产数据存储在不同的物理位置，备份数据同样进行加密保护，定期测试备份数据的可恢复性。</w:t>
      </w:r>
    </w:p>
    <w:p w14:paraId="7274396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三、MLOps 平台安全加固</w:t>
      </w:r>
      <w:bookmarkEnd w:id="2"/>
    </w:p>
    <w:p w14:paraId="236E7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MLOps 平台是 AI 研发和运维的核心平台，其安全直接影响数据和模型的安全。Git 代码仓库安全加固首先配置强密码和多因素认证，禁止使用弱密码和共享账号。设置分支保护规则，禁止直接推送到主分支，所有代码提交必须经过 Pull Request 和代码审查才能合并。启用代码扫描功能，自动检测代码中的安全漏洞、硬编码的密钥和敏感信息。定期审计代码仓库的访问权限，及时移除离职人员和不再需要的权限。</w:t>
      </w:r>
    </w:p>
    <w:p w14:paraId="497BE5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DVC 数据版本管理安全加固主要关注远程存储的访问安全，配置远程存储的访问权限，仅允许授权的用户和服务访问数据存储桶。使用临时凭证和短期访问密钥代替长期静态密钥，定期轮换访问密钥。启用存储桶的版本控制和日志审计功能，记录所有的数据访问和修改操作。对敏感数据集进行加密存储，即使存储桶被未授权访问，也无法获取数据内容。禁止将敏感数据存储在公共可访问的存储桶中，定期扫描存储桶的访问权限，防止意外公开。</w:t>
      </w:r>
    </w:p>
    <w:p w14:paraId="4AF68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MLflow 实验跟踪与模型注册安全加固首先启用 MLflow 的认证授权功能，使用 HTTP 基本认证或集成企业单点登录（SSO）系统，限制未授权用户访问 MLflow 服务器。配置 MLflow 的权限管理，为不同的用户和项目分配不同的权限，普通用户只能查看和运行自己的实验，管理员拥有所有权限。启用模型签名功能，为每个注册的模型添加签名，定义模型的输入输出格式和数据类型，防止恶意输入导致的模型异常。定期扫描 MLflow 存储的模型和实验数据，检测是否存在恶意代码和敏感信息。配置 MLflow 的日志审计功能，记录所有的用户操作和模型变更。</w:t>
      </w:r>
    </w:p>
    <w:p w14:paraId="107D02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Hugging Face Hub 企业版安全加固适用于使用私有模型仓库的企业，启用企业级身份认证和单点登录，集成企业的身份管理系统。设置私有仓库的访问权限，仅允许授权的团队成员访问私有模型和数据集。启用模型扫描功能，自动检测模型中的恶意代码、安全漏洞和有害内容。配置模型的版本控制和变更审计，记录所有的模型上传、下载和修改操作。启用数据加密功能，对私有仓库中的模型和数据集进行加密存储和传输。</w:t>
      </w:r>
    </w:p>
    <w:p w14:paraId="412AB24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四、数据安全管理</w:t>
      </w:r>
      <w:bookmarkEnd w:id="3"/>
    </w:p>
    <w:p w14:paraId="229A81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数据是 AI 系统的核心资产，数据安全是 AI 安全的重中之重。数据采集阶段必须遵守合法、正当、必要的原则，不得采集与业务无关的数据，不得非法采集个人信息。对于需要采集的个人信息，必须明确告知用户采集的目的、方式和范围，获得用户的明确同意。建立数据来源审核机制，确保采集的数据来源合法，避免采集包含恶意内容的数据。对采集到的原始数据进行初步的安全检查，过滤掉有害信息和非法内容。</w:t>
      </w:r>
    </w:p>
    <w:p w14:paraId="0584BC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存储阶段对所有敏感数据进行加密存储，包括个人信息、商业机密和训练数据。使用分级存储策略，根据数据的敏感程度将数据分为不同的等级，不同等级的数据采用不同的加密强度和访问控制策略。核心敏感数据存储在离线的物理隔离存储设备中，仅在需要时接入网络。建立数据备份和恢复机制，定期备份数据，备份数据与生产数据分开存储，确保在数据丢失或损坏时能够快速恢复。定期测试备份数据的可恢复性，确保备份数据的有效性。</w:t>
      </w:r>
    </w:p>
    <w:p w14:paraId="0FC49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脱敏是处理敏感数据的重要手段，在数据预处理和使用过程中，对个人身份信息、电话号码、邮箱地址等敏感信息进行脱敏处理，采用替换、掩码、泛化等方法去除数据中的个人标识信息。对于需要进行数据分析和模型训练的场景，使用差分隐私技术，在数据中添加适量的噪声，在保证数据可用性的同时，防止个人信息被泄露。建立数据脱敏流程和规范，确保所有敏感数据在使用前都经过脱敏处理。</w:t>
      </w:r>
    </w:p>
    <w:p w14:paraId="187F3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访问控制遵循最小权限原则，为每个用户和服务分配最小必要的数据访问权限。基于角色和数据等级设置访问权限，不同角色的用户只能访问其工作所需的数据等级和范围。使用数据访问控制列表（ACL）和属性基访问控制（ABAC），实现细粒度的数据访问控制。建立数据访问审批流程，对于访问核心敏感数据的请求，必须经过严格的审批才能授权。定期审计数据访问日志，检查是否存在异常访问和未授权访问行为。</w:t>
      </w:r>
    </w:p>
    <w:p w14:paraId="0352C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生命周期管理覆盖数据从采集、存储、使用、共享到销毁的全过程。制定数据保留策略，明确不同类型数据的保留期限，超过保留期限的数据必须进行安全销毁。数据销毁采用专业的数据销毁技术，如物理销毁、数据覆写等，确保数据无法被恢复。对于需要共享的数据，进行脱敏和加密处理，签订数据共享协议，明确双方的安全责任和义务。禁止将核心敏感数据共享给未授权的第三方。</w:t>
      </w:r>
    </w:p>
    <w:p w14:paraId="21092EC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五、模型安全管理</w:t>
      </w:r>
      <w:bookmarkEnd w:id="4"/>
    </w:p>
    <w:p w14:paraId="464C2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模型安全是 AI 系统安全的核心环节，包括模型训练安全、模型部署安全和模型运行时安全。模型训练安全首先防范数据投毒攻击，对训练数据进行严格的清洗和校验，检测并移除数据中的恶意样本。使用数据验证技术，检查训练数据的分布和质量，确保训练数据的一致性和完整性。在训练过程中启用异常检测，监控训练指标的变化，及时发现数据投毒导致的模型异常。训练环境与外部网络隔离，防止攻击者入侵训练环境篡改训练数据和模型参数。使用可信计算技术，确保训练过程在可信的环境中执行，防止模型被篡改。</w:t>
      </w:r>
    </w:p>
    <w:p w14:paraId="670452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部署安全首先对模型进行安全扫描，检测模型中是否存在恶意代码、后门和安全漏洞。使用模型签名技术，为每个部署的模型添加数字签名，确保模型的完整性和真实性，防止模型被篡改和替换。模型在传输和存储过程中进行加密，防止模型参数被窃取。在部署模型时，使用最小权限原则，为模型服务分配最小必要的系统资源和访问权限。启用模型版本管理，记录所有部署的模型版本，实现模型的可追溯性。建立模型灰度发布和回滚机制，在新版本模型出现问题时能够快速回滚到上一个稳定版本。</w:t>
      </w:r>
    </w:p>
    <w:p w14:paraId="6FC11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模型运行时安全防护主要防范对抗样本攻击、prompt 注入攻击和模型窃取攻击。部署对抗样本检测系统，对输入的样本进行实时检测，识别并拦截恶意的对抗样本。对于大语言模型，启用 prompt 注入防护功能，检测并过滤恶意的 prompt，防止攻击者通过精心设计的 prompt 诱导模型生成有害内容或泄露敏感信息。使用模型水印技术，在模型中嵌入不可见的水印，当模型被窃取或非法传播时，能够通过水印追踪模型的来源。限制模型的输出内容，启用内容审核功能，过滤模型生成的有害、违法和不当内容。设置模型的访问频率限制，防止攻击者通过大量的查询请求窃取模型参数。</w:t>
      </w:r>
    </w:p>
    <w:p w14:paraId="37D34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模型知识产权保护是企业 AI 资产保护的重要内容，为核心模型申请专利和软件著作权，通过法律手段保护模型的知识产权。使用模型加密技术，将模型加密后部署，只有在授权的环境中才能解密运行。启用模型的使用审计功能，记录模型的所有访问和使用情况，发现异常使用行为及时处理。与员工和合作伙伴签订保密协议，明确模型的知识产权归属和保密责任，防止内部人员泄露模型。</w:t>
      </w:r>
    </w:p>
    <w:p w14:paraId="745AC1E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六、推理服务安全加固</w:t>
      </w:r>
      <w:bookmarkEnd w:id="5"/>
    </w:p>
    <w:p w14:paraId="5C8C3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推理服务是 AI 系统对外提供服务的窗口，也是攻击者最常攻击的目标。API 安全是推理服务安全的第一道防线，所有推理 API 都必须启用认证授权机制，禁止匿名访问。常用的认证方式包括 API Key、JWT 令牌和 OAuth2.0，优先使用 JWT 令牌和 OAuth2.0，避免使用简单的 API Key。为每个用户和应用分配独立的 API 密钥，定期轮换密钥，及时撤销不再使用的密钥。配置 API 的限流和熔断机制，限制每个用户的请求频率和并发数，防止 DDoS 攻击和请求过载。所有 API 通信都采用 HTTPS 加密，使用 TLS 1.3 及以上版本，禁用不安全的加密套件。</w:t>
      </w:r>
    </w:p>
    <w:p w14:paraId="026882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输入输出验证是防止恶意输入和有害输出的关键措施。对所有输入请求进行严格的验证，检查输入的格式、长度、内容类型和数据范围，拒绝不符合要求的输入。对于大语言模型，对输入的 prompt 进行安全检测，过滤包含恶意指令、敏感信息和有害内容的 prompt。对模型的输出内容进行实时审核，使用内容审核模型检测并过滤生成的有害、违法、暴力、色情和歧视性内容。设置输出内容的长度限制，防止模型生成过长的内容导致服务过载。</w:t>
      </w:r>
    </w:p>
    <w:p w14:paraId="4E217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vLLM 推理服务安全加固首先启用 vLLM 的 API 认证功能，使用 --api-key 参数设置 API 密钥，只有提供正确密钥的请求才能访问服务。配置 --max-model-len 参数限制模型的最大序列长度，防止过长的输入导致显存溢出。启用 --enable-auto-gc 功能，自动回收不再使用的显存，防止显存泄漏。限制 vLLM 服务的运行权限，使用非 root 用户运行服务，禁用特权模式。配置 vLLM 的日志功能，记录所有的请求和响应信息，便于安全审计和问题排查。定期更新 vLLM 到最新版本，修复已知的安全漏洞。</w:t>
      </w:r>
    </w:p>
    <w:p w14:paraId="38A88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Triton Inference Server 安全加固启用 Triton 的 API 认证和授权功能，使用 HTTP 基本认证或集成第三方认证系统。配置 Triton 的模型仓库访问权限，仅允许 Triton 服务读取模型仓库，禁止写入权限。启用 Triton 的模型签名验证功能，只加载经过签名的合法模型，防止加载恶意模型。配置 Triton 的动态批处理参数，限制最大批处理大小和最大等待时间，防止请求过载导致服务崩溃。启用 Triton 的监控和日志功能，记录服务的运行状态和请求信息。使用 Triton 的隔离模式，将不同的模型运行在独立的进程中，防止一个模型出现问题影响其他模型。</w:t>
      </w:r>
    </w:p>
    <w:p w14:paraId="403C360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七、权限管理规范</w:t>
      </w:r>
      <w:bookmarkEnd w:id="6"/>
    </w:p>
    <w:p w14:paraId="0DE263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管理遵循最小权限原则、职责分离原则和权限最小化原则，确保每个用户和服务仅拥有完成其工作所必需的最小权限。根据用户的工作职责和岗位，将用户分为不同的角色，每个角色对应一组预设的权限。常见的角色包括系统管理员、集群运维工程师、算法工程师、数据工程师、业务分析师和普通用户。系统管理员拥有系统的最高权限，负责系统的部署、配置和维护；集群运维工程师负责 Kubernetes 集群和 GPU 基础设施的运维；算法工程师负责模型的训练和调优；数据工程师负责数据的采集、预处理和管理；业务分析师负责查看模型的运行数据和业务指标；普通用户只能使用已部署的推理服务。</w:t>
      </w:r>
    </w:p>
    <w:p w14:paraId="703AAE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分配采用基于角色的访问控制（RBAC）模式，将权限分配给角色，再将角色分配给用户，而不是直接将权限分配给用户。这样可以简化权限管理，当用户的工作职责发生变化时，只需要调整用户的角色即可。每个角色的权限经过严格的审核，确保没有过度授权。对于敏感操作，如删除数据、修改模型、系统配置变更等，需要进行二次认证和审批。建立权限申请和审批流程，用户需要申请才能获得额外的权限，申请必须经过其上级领导和安全管理员的审批。</w:t>
      </w:r>
    </w:p>
    <w:p w14:paraId="09A733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权限生命周期管理覆盖权限的申请、审批、授予、变更和撤销全过程。当新员工入职时，根据其岗位和工作职责，为其分配相应的角色和权限。当员工的岗位发生变化时，及时调整其角色和权限，收回不再需要的权限。当员工离职时，立即撤销其所有的系统权限，包括代码仓库、数据存储、MLOps 平台和推理服务的权限。定期进行权限审计，每季度对所有用户的权限进行一次全面的审核，清理多余的权限和不再使用的账号。</w:t>
      </w:r>
    </w:p>
    <w:p w14:paraId="30615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特权账号管理是权限管理的重点，特权账号包括系统管理员账号、数据库管理员账号和 root 账号等拥有最高权限的账号。对特权账号进行严格的管理，限制特权账号的数量，仅授予必要的人员。启用特权账号的多因素认证，设置强密码策略，定期更换密码。禁止使用特权账号进行日常操作，日常操作使用普通用户账号，只有在需要进行系统维护和管理时才使用特权账号。记录特权账号的所有操作，进行实时监控和审计，发现异常操作及时告警。</w:t>
      </w:r>
    </w:p>
    <w:p w14:paraId="1958978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八、安全监控与应急响应</w:t>
      </w:r>
      <w:bookmarkEnd w:id="7"/>
    </w:p>
    <w:p w14:paraId="3916D1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安全监控体系覆盖 AI 系统的所有层面，包括基础设施监控、网络监控、数据监控、模型监控和应用监控。基础设施监控实时监测服务器、GPU、存储和网络的运行状态，检测硬件故障、资源异常和入侵行为。网络监控监测网络流量和连接，发现异常流量、端口扫描和 DDoS 攻击。数据监控记录所有的数据访问和修改操作，检测未授权的数据访问和数据泄露。模型监控监测模型的输入输出、性能指标和行为，发现对抗样本攻击、模型漂移和异常输出。应用监控监测推理服务的运行状态、请求量和错误率，检测服务异常和攻击行为。</w:t>
      </w:r>
    </w:p>
    <w:p w14:paraId="169979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建立统一的安全运营中心（SOC），集中收集和分析所有的安全日志和监控数据。使用 SIEM（安全信息和事件管理）系统对日志数据进行关联分析，识别潜在的安全事件。制定明确的告警规则，根据安全事件的严重程度分为不同的告警级别，不同级别的告警对应不同的响应流程。P0 级告警是最严重的安全事件，如数据泄露、系统被攻陷、大规模 DDoS 攻击等，需要立即响应；P1 级告警是重要的安全事件，如未授权访问尝试、API 异常调用等，需要在 1 小时内响应；P2 级告警是一般的安全事件，如弱密码、权限配置不当等，需要在 24 小时内响应。</w:t>
      </w:r>
    </w:p>
    <w:p w14:paraId="16926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响应流程分为事件发现、事件确认、应急处置、恢复重建和事后复盘五个阶段。事件发现阶段通过安全监控系统和用户报告发现安全事件。事件确认阶段对事件进行核实和评估，确定事件的类型、影响范围和严重程度。应急处置阶段采取紧急措施控制事件的发展，如隔离受影响的系统、阻断攻击流量、撤销泄露的密钥等。恢复重建阶段在事件得到控制后，恢复系统的正常运行，修复安全漏洞，加强安全防护。事后复盘阶段对事件进行全面的分析，总结经验教训，完善安全防护体系，防止类似事件再次发生。</w:t>
      </w:r>
    </w:p>
    <w:p w14:paraId="23B77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详细的应急预案，针对不同类型的安全事件制定具体的应急处置步骤和责任人。定期进行应急演练，模拟各种安全事件的场景，检验应急预案的有效性和团队的应急响应能力。根据演练的结果，不断优化应急预案和安全防护措施。建立安全事件报告制度，及时向上级领导和相关部门报告安全事件，不得隐瞒和谎报。</w:t>
      </w:r>
    </w:p>
    <w:p w14:paraId="54C93D4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九、最佳实践</w:t>
      </w:r>
      <w:bookmarkEnd w:id="8"/>
    </w:p>
    <w:p w14:paraId="59189E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建立安全左移的理念，将安全融入 AI 系统的全生命周期，从需求分析、设计、开发、测试到部署和运维，每个阶段都考虑安全因素。在需求分析阶段，明确安全需求和合规要求；在设计阶段，进行安全架构设计和威胁建模；在开发阶段，进行代码安全扫描和安全测试；在测试阶段，进行全面的安全测试和渗透测试；在部署阶段，进行安全配置和加固；在运维阶段，进行持续的安全监控和漏洞修复。</w:t>
      </w:r>
    </w:p>
    <w:p w14:paraId="55BA0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定期进行安全评估和渗透测试，至少每半年对 AI 系统进行一次全面的安全评估，每年进行一次渗透测试。安全评估包括基础设施安全评估、网络安全评估、数据安全评估、模型安全评估和应用安全评估，识别系统中存在的安全漏洞和风险。渗透测试模拟真实的攻击场景，测试系统的防护能力，发现潜在的安全弱点。根据安全评估和渗透测试的结果，制定整改计划，及时修复安全漏洞。</w:t>
      </w:r>
    </w:p>
    <w:p w14:paraId="6D6A9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加强员工的安全培训和意识教育，定期组织安全培训，向员工普及 AI 安全知识和最佳实践，提高员工的安全意识和防范能力。培训内容包括数据安全、密码安全、网络安全、模型安全和应急响应等方面。建立安全奖惩制度，对遵守安全规定的员工进行奖励，对违反安全规定的员工进行处罚。培养全员参与的安全文化，让每个员工都成为安全的守护者。</w:t>
      </w:r>
    </w:p>
    <w:p w14:paraId="5D43C3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第三方安全管理体系，对供应商和合作伙伴进行安全评估，确保其符合企业的安全要求。与供应商和合作伙伴签订安全协议，明确双方的安全责任和义务。定期对供应商和合作伙伴的安全状况进行审计，发现问题及时要求整改。禁止将核心敏感数据和模型交给未经过安全评估的第三方处理。</w:t>
      </w:r>
    </w:p>
    <w:p w14:paraId="403EB71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十、常见安全问题与解决方案</w:t>
      </w:r>
      <w:bookmarkEnd w:id="9"/>
    </w:p>
    <w:p w14:paraId="62170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API 密钥泄露是最常见的安全问题之一，通常是由于代码中硬编码密钥、密钥存储在公共代码仓库、员工不慎泄露等原因导致的。解决方案是禁止在代码中硬编码 API 密钥，使用环境变量或密钥管理系统存储密钥。启用代码扫描功能，自动检测代码中的硬编码密钥。定期轮换 API 密钥，一旦发现密钥泄露，立即撤销泄露的密钥并生成新的密钥。审计所有使用泄露密钥的请求，排查是否存在未授权访问。</w:t>
      </w:r>
    </w:p>
    <w:p w14:paraId="6E41C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泄露是最严重的安全事件之一，可能导致企业的商业机密和用户的个人信息被泄露。解决方案是对所有敏感数据进行加密存储和传输，严格控制数据的访问权限。定期审计数据访问日志，发现异常访问及时处理。建立数据泄露应急响应预案，一旦发生数据泄露，立即采取措施控制泄露范围，通知受影响的用户，并向相关部门报告。</w:t>
      </w:r>
    </w:p>
    <w:p w14:paraId="19179F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模型窃取是 AI 企业面临的特有安全风险，攻击者通过大量的查询请求或漏洞窃取模型参数。解决方案是限制模型的访问频率和并发数，防止攻击者通过大量查询窃取模型。使用模型水印技术，在模型中嵌入不可见的水印，便于追踪被盗模型。启用模型的运行时防护，检测并拦截异常的查询请求。对核心模型进行加密部署，只有在授权的环境中才能运行。</w:t>
      </w:r>
    </w:p>
    <w:p w14:paraId="06B0F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 注入是大语言模型面临的主要攻击方式，攻击者通过精心设计的 prompt 诱导模型执行恶意指令、泄露敏感信息或生成有害内容。解决方案是启用 prompt 注入检测功能，对输入的 prompt 进行安全检测和过滤。限制模型的权限，禁止模型执行系统命令、访问敏感数据和网络资源。对模型的输出内容进行审核，过滤有害内容。持续更新 prompt 注入防护规则，应对新的攻击手法。</w:t>
      </w:r>
    </w:p>
    <w:p w14:paraId="6D44B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抗样本攻击通过在输入样本中添加微小的扰动，导致模型输出错误的结果。解决方案是在模型训练过程中加入对抗训练，提高模型的鲁棒性。部署对抗样本检测系统，对输入的样本进行实时检测，拦截恶意的对抗样本。使用模型集成技术，结合多个模型的输出结果，降低对抗样本的影响。定期更新模型，修复已知的对抗样本漏洞。</w:t>
      </w:r>
    </w:p>
    <w:p w14:paraId="04AD36BF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十一、附录</w:t>
      </w:r>
      <w:bookmarkEnd w:id="10"/>
    </w:p>
    <w:p w14:paraId="5EA8E762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常用安全工具</w:t>
      </w:r>
      <w:bookmarkEnd w:id="11"/>
    </w:p>
    <w:p w14:paraId="6F9A2E77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漏洞扫描工具：Nessus、OpenVAS、Trivy</w:t>
      </w:r>
    </w:p>
    <w:p w14:paraId="013B0F2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容器安全工具：Docker Bench for Security、Clair</w:t>
      </w:r>
    </w:p>
    <w:p w14:paraId="551B68F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代码安全扫描工具：SonarQube、Semgrep</w:t>
      </w:r>
    </w:p>
    <w:p w14:paraId="7B3F15A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网络安全工具：Wireshark、Suricata、Nmap</w:t>
      </w:r>
    </w:p>
    <w:p w14:paraId="60CE78F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密钥管理工具：HashiCorp Vault、AWS KMS</w:t>
      </w:r>
    </w:p>
    <w:p w14:paraId="682AC95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内容审核工具：OpenAI Moderation API、百度内容审核平台</w:t>
      </w:r>
    </w:p>
    <w:p w14:paraId="220DCA6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安全配置模板</w:t>
      </w:r>
      <w:bookmarkEnd w:id="12"/>
    </w:p>
    <w:p w14:paraId="15A9BC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Pod 安全上下文配置：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971D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DA19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securityContext: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runAsUser: 1000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runAsGroup: 1000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fsGroup: 1000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allowPrivilegeEscalation: false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readOnlyRootFilesystem: true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capabilities: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drop: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ALL</w:t>
            </w:r>
          </w:p>
        </w:tc>
      </w:tr>
    </w:tbl>
    <w:p w14:paraId="19FC7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vLLM 安全启动命令：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F55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2EE9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docker run --gpus all -p 8000:8000 --user 1000:1000 vllm/vllm-openai:v0.4.2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--model meta-llama/Llama-2-7b-chat-hf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--api-key your-secure-api-key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--max-model-len 4096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--enable-auto-gc \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--trust-remote-code false</w:t>
            </w:r>
          </w:p>
        </w:tc>
      </w:tr>
    </w:tbl>
    <w:p w14:paraId="7A3B10C2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参考资料</w:t>
      </w:r>
      <w:bookmarkEnd w:id="13"/>
    </w:p>
    <w:p w14:paraId="5EC206F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Kubernetes 安全指南：</w:t>
      </w:r>
      <w:r>
        <w:fldChar w:fldCharType="begin"/>
      </w:r>
      <w:r>
        <w:instrText xml:space="preserve"> HYPERLINK "https://kubernetes.io/docs/concepts/security/"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https://kubernetes.io/docs/concepts/security/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5E1713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NVIDIA GPU 安全文档：</w:t>
      </w:r>
      <w:r>
        <w:fldChar w:fldCharType="begin"/>
      </w:r>
      <w:r>
        <w:instrText xml:space="preserve"> HYPERLINK "https://docs.nvidia.com/datacenter/tesla/security/index.html"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https://docs.nvidia.com/datacenter/tesla/security/index.html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B8F941A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MLflow 安全配置：</w:t>
      </w:r>
      <w:r>
        <w:fldChar w:fldCharType="begin"/>
      </w:r>
      <w:r>
        <w:instrText xml:space="preserve"> HYPERLINK "https://mlflow.org/docs/latest/auth/index.html"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https://mlflow.org/docs/latest/auth/index.html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B67346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vLLM 安全最佳实践：</w:t>
      </w:r>
      <w:r>
        <w:fldChar w:fldCharType="begin"/>
      </w:r>
      <w:r>
        <w:instrText xml:space="preserve"> HYPERLINK "https://docs.vllm.ai/en/latest/serving/security.html"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https://docs.vllm.ai/en/latest/serving/security.html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3DFA39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Triton Inference Server 安全指南：</w:t>
      </w:r>
      <w:r>
        <w:fldChar w:fldCharType="begin"/>
      </w:r>
      <w:r>
        <w:instrText xml:space="preserve"> HYPERLINK "https://docs.nvidia.com/deeplearning/triton-inference-server/user-guide/docs/customization_guide/security.html"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https://docs.nvidia.com/deeplearning/triton-inference-server/user-guide/docs/customization_guide/security.html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E6A940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生成式人工智能服务安全基本要求：GB/T 43877-2024</w:t>
      </w: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929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A21FD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9386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8796</Words>
  <Characters>10214</Characters>
  <TotalTime>0</TotalTime>
  <ScaleCrop>false</ScaleCrop>
  <LinksUpToDate>false</LinksUpToDate>
  <CharactersWithSpaces>10588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2026-05-04T13:13:00Z</dcterms:created>
  <dc:creator>Apache POI</dc:creator>
  <cp:lastModifiedBy>百事可乐</cp:lastModifiedBy>
  <dcterms:modified xsi:type="dcterms:W3CDTF">2026-05-04T13:57:00Z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eyJoZGlkIjoiNWQ3MTEyZGI2ZWU5YTA1MjhkN2UwNmUxN2ZmNWRlZmEiLCJ1c2VySWQiOiIxMTIzMjM0ODc3In0=</vt:lpwstr>
  </property>
  <property fmtid="{D5CDD505-2E9C-101B-9397-08002B2CF9AE}" pid="3" name="KSOProductBuildVer">
    <vt:lpwstr>2052-12.1.0.25865</vt:lpwstr>
  </property>
  <property fmtid="{D5CDD505-2E9C-101B-9397-08002B2CF9AE}" pid="4" name="ICV">
    <vt:lpwstr>CA173E7BEE5845F5A4CF3D7E045D4000_12</vt:lpwstr>
  </property>
</Properties>
</file>