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EE82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系统核心监控指标与告警规则手册</w:t>
      </w:r>
    </w:p>
    <w:p w14:paraId="17AB8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 年 5 月 4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：企业级 AI 训练与推理集群，覆盖 NVIDIA A100/H100/A800/V100/T4 GPU、Kubernetes 1.25-1.30、NCCL 2.16-2.22、vLLM 0.4.0-0.5.0、Triton 24.03-24.05 等主流技术栈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：为 AI 运维工程师建立标准化的全栈监控体系，明确各层级核心监控指标与告警阈值，实现故障提前发现、快速定位与分级响应，将平均故障发现时间缩短至 5 分钟以内</w:t>
      </w:r>
    </w:p>
    <w:p w14:paraId="561176A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一、监控体系架构与设计原则</w:t>
      </w:r>
      <w:bookmarkEnd w:id="0"/>
    </w:p>
    <w:p w14:paraId="0B7C5D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系统监控采用分层架构设计，从底层硬件到上层业务实现全覆盖，共分为基础设施层、Kubernetes 集群层、分布式训练层、推理服务层和业务层五个层级，每个层级聚焦不同的监控对象和核心指标。基础设施层关注硬件健康状态和基础资源使用情况，是整个监控体系的基础；Kubernetes 集群层关注容器编排平台的组件状态和资源调度能力，保障 AI 工作负载的正常运行；分布式训练层关注大模型训练任务的进度、性能和稳定性，是 AI 研发流程的核心监控对象；推理服务层关注线上服务的可用性、性能和资源使用情况，直接影响用户体验；业务层关注最终的业务指标和用户体验，是衡量 AI 系统价值的关键。</w:t>
      </w:r>
    </w:p>
    <w:p w14:paraId="0798A3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监控体系设计遵循四个核心原则，首先是全面性原则，覆盖 AI 系统全生命周期的所有环节，不遗漏任何可能导致故障的关键点；其次是实用性原则，优先选择能够直接反映系统状态和故障风险的指标，避免收集过多无用的指标增加系统负担；第三是可操作性原则，每个告警规则都对应明确的故障原因和处理流程，确保运维工程师收到告警后能够快速采取行动；第四是动态调整原则，根据系统的变化和运维经验，定期优化监控指标和告警阈值，适应业务的发展和技术的更新。</w:t>
      </w:r>
    </w:p>
    <w:p w14:paraId="7D0ECE8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二、基础设施层监控指标与告警规则</w:t>
      </w:r>
      <w:bookmarkEnd w:id="1"/>
    </w:p>
    <w:p w14:paraId="70B96E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基础设施层是 AI 系统的基石，其稳定性直接影响整个系统的运行，核心监控对象包括 GPU、CPU、内存、存储、网络和电源系统。GPU 监控是基础设施层的重中之重，核心指标包括 GPU 利用率、显存使用率、温度、功耗、ECC 错误计数、NVLink 链路状态和 PCIe 链路状态。GPU 利用率衡量 GPU 计算资源的使用效率，正常情况下训练任务的 GPU 利用率应保持在 70%-95% 之间，当 GPU 利用率持续低于 30% 超过 5 分钟时，说明存在资源浪费或数据加载瓶颈，触发警告级告警；当 GPU 利用率持续高于 95% 超过 10 分钟时，说明 GPU 资源饱和，可能需要优化任务性能或增加资源，触发提示级告警。</w:t>
      </w:r>
    </w:p>
    <w:p w14:paraId="7D0A85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显存使用率是最容易引发故障的指标之一，当显存使用率持续高于 90% 超过 3 分钟时，会显著增加 OOM 错误的风险，触发警告级告警；当显存使用率高于 95% 超过 1 分钟时，触发严重级告警，提示运维工程师立即采取措施。GPU 温度直接影响硬件寿命和性能，当 GPU 温度高于 85℃超过 2 分钟时，触发警告级告警；当温度高于 90℃超过 1 分钟时，触发严重级告警，此时 GPU 会自动降频，严重影响训练和推理性能，需要立即检查散热系统。GPU 功耗应保持在额定功耗的 90% 以内，当功耗持续超过额定值超过 5 分钟时，触发警告级告警，提示检查电源系统和 GPU 负载。</w:t>
      </w:r>
    </w:p>
    <w:p w14:paraId="0361F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ECC 错误是显存硬件故障的重要信号，只要出现未纠正的 ECC 错误就立即触发严重级告警，提示运维工程师更换 GPU；单比特可纠正 ECC 错误计数在 1 小时内超过 10 次时，触发警告级告警，需要密切监控错误计数的变化趋势。NVLink 链路状态直接影响多 GPU 训练性能，当任何一条 NVLink 链路状态为 Down 或错误计数在 10 分钟内超过 100 次时，触发警告级告警；当超过一半的 NVLink 链路故障时，触发严重级告警。PCIe 链路速度应达到理论最大值，当 PCIe 链路速度低于理论值的 80% 时，触发警告级告警，提示检查 GPU 插槽和 BIOS 设置。</w:t>
      </w:r>
    </w:p>
    <w:p w14:paraId="62C41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 和内存监控同样重要，CPU 利用率持续高于 90% 超过 5 分钟时，触发警告级告警；持续高于 95% 超过 2 分钟时，触发严重级告警。内存使用率持续高于 90% 超过 3 分钟时，触发警告级告警；高于 95% 超过 1 分钟时，触发严重级告警，同时当系统 swap 使用率高于 20% 时，触发警告级告警，说明内存资源严重不足。存储监控包括磁盘空间使用率、inode 使用率、磁盘 IOPS 和吞吐量，磁盘空间使用率高于 85% 时触发警告级告警，高于 90% 时触发严重级告警；inode 使用率高于 80% 时触发警告级告警，高于 90% 时触发严重级告警；磁盘读写延迟高于 100ms 超过 5 分钟时，触发警告级告警。</w:t>
      </w:r>
    </w:p>
    <w:p w14:paraId="0ADA19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网络监控关注带宽使用率、丢包率和延迟，InfiniBand 或 RoCE 网络的带宽使用率持续高于 90% 超过 5 分钟时，触发警告级告警；丢包率高于 0.1% 超过 1 分钟时，触发严重级告警，会直接导致 NCCL 通信故障；网络延迟高于 100 微秒超过 3 分钟时，触发警告级告警。电源系统监控包括电源模块状态、输入电压和输出功率，当任何一个电源模块故障时，立即触发严重级告警；输入电压波动超过额定值的 ±5% 时，触发警告级告警。</w:t>
      </w:r>
    </w:p>
    <w:p w14:paraId="27C57D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三、Kubernetes GPU 集群层监控指标与告警规则</w:t>
      </w:r>
      <w:bookmarkEnd w:id="2"/>
    </w:p>
    <w:p w14:paraId="5A0241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集群是 AI 工作负载的运行平台，其稳定性直接影响训练和推理任务的正常执行，核心监控对象包括节点状态、Pod 状态、GPU 资源调度、核心组件状态和存储网络服务。节点状态是集群健康的基础，当任何一个节点处于 NotReady 状态超过 1 分钟时，触发警告级告警；当超过 20% 的节点处于 NotReady 状态时，触发严重级告警。节点的磁盘压力、内存压力和 PID 压力状态持续超过 2 分钟时，分别触发警告级告警，提示节点资源不足。</w:t>
      </w:r>
    </w:p>
    <w:p w14:paraId="1698E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Pod 状态监控关注异常状态的 Pod 数量，当处于 Pending 状态的 Pod 数量超过 5 个且持续 5 分钟未调度时，触发警告级告警；当处于 CrashLoopBackOff 状态的 Pod 数量超过 3 个且持续 3 分钟时，触发严重级告警；当处于 Failed 状态的 Pod 数量在 1 小时内超过 10 个时，触发警告级告警。GPU 资源调度监控包括 GPU 资源分配率和 GPU 资源使用率，集群整体 GPU 资源分配率高于 95% 时，触发警告级告警，提示需要扩容集群；单节点 GPU 资源使用率持续低于 30% 超过 1 小时时，触发提示级告警，提示存在资源浪费。</w:t>
      </w:r>
    </w:p>
    <w:p w14:paraId="409391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Operator 是 Kubernetes GPU 集群的核心组件，其运行状态直接影响 GPU 资源的管理和使用，当 GPU Operator 命名空间下任何一个 Pod 处于非 Running 状态超过 2 分钟时，触发警告级告警；当 nvidia-driver-daemonset 或 nvidia-device-plugin-daemonset 的 Pod 异常率超过 20% 时，触发严重级告警，会导致大量节点的 GPU 资源无法被调度。Kubernetes 核心组件包括 kube-apiserver、kube-controller-manager、kube-scheduler 和 etcd，当任何一个核心组件的 Pod 处于非 Running 状态超过 1 分钟时，触发严重级告警；kube-apiserver 的请求延迟高于 500ms 超过 3 分钟时，触发警告级告警；etcd 的 leader 选举异常或集群健康状态异常时，立即触发严重级告警。</w:t>
      </w:r>
    </w:p>
    <w:p w14:paraId="1DB9E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存储服务监控包括 PV 和 PVC 的状态，当 PVC 处于 Pending 状态超过 5 分钟未绑定时，触发警告级告警；当存储卷挂载失败次数在 1 小时内超过 5 次时，触发警告级告警；分布式存储系统的可用容量低于总容量的 15% 时，触发警告级告警，低于 10% 时触发严重级告警。网络服务监控包括 CoreDNS、Ingress Controller 和网络插件，当 CoreDNS 的 Pod 异常率超过 50% 时，触发严重级告警；CoreDNS 的解析失败率高于 1% 超过 3 分钟时，触发警告级告警；Ingress Controller 的请求错误率高于 5% 超过 2 分钟时，触发警告级告警；网络插件的 Pod 异常率超过 20% 时，触发严重级告警。</w:t>
      </w:r>
    </w:p>
    <w:p w14:paraId="5AD9927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四、分布式训练层监控指标与告警规则</w:t>
      </w:r>
      <w:bookmarkEnd w:id="3"/>
    </w:p>
    <w:p w14:paraId="7F888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分布式训练是大模型研发的核心环节，其监控具有鲜明的 AI 特色，核心监控对象包括训练任务状态、训练进度、模型性能、资源使用和通信性能。训练任务状态是最基础的监控指标，当训练任务失败或被终止时，立即触发警告级告警；当任务处于 Running 状态但超过 30 分钟没有任何日志输出时，触发警告级告警，提示任务可能挂起。训练进度监控包括迭代次数、epoch 数和预计完成时间，当训练进度停滞超过 10 分钟时，触发警告级告警；当实际训练速度低于预期速度的 50% 超过 15 分钟时，触发警告级告警。</w:t>
      </w:r>
    </w:p>
    <w:p w14:paraId="167D5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模型性能监控是训练过程中最重要的指标之一，核心包括损失值、准确率和梯度范数。当训练损失值变为 NaN 或 Inf 时，立即触发严重级告警，说明训练出现严重问题，需要停止任务并排查原因；当验证集损失值连续 5 个 epoch 不下降甚至上升时，触发警告级告警，提示可能出现过拟合或学习率设置不当；当梯度范数超过 100 或低于 0.001 超过 5 个迭代时，触发警告级告警，提示可能出现梯度爆炸或梯度消失问题。</w:t>
      </w:r>
    </w:p>
    <w:p w14:paraId="0E53BD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资源使用监控包括 GPU 利用率、显存使用率、CPU 利用率和内存使用率，训练任务的 GPU 利用率持续低于 40% 超过 10 分钟时，触发警告级告警，说明存在数据加载瓶颈或通信瓶颈；当 GPU 利用率波动超过 ±30% 且持续 5 分钟时，触发警告级告警，提示负载不均衡。显存使用率持续高于 85% 超过 5 分钟时，触发警告级告警，高于 90% 时触发严重级告警，防止 OOM 错误。</w:t>
      </w:r>
    </w:p>
    <w:p w14:paraId="648F9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通信性能监控是分布式训练特有的核心内容，NCCL 通信错误次数在 10 分钟内超过 1 次时，触发警告级告警；当出现 NCCL 通信超时错误时，立即触发严重级告警，会导致训练任务失败。多机训练的线性加速比低于理论值的 70% 时，触发警告级告警，提示存在通信性能问题；节点间的通信延迟高于 1 毫秒超过 3 分钟时，触发警告级告警。</w:t>
      </w:r>
    </w:p>
    <w:p w14:paraId="45BDB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Checkpoint 和数据加载监控同样重要，当 Checkpoint 保存失败时，立即触发警告级告警，防止训练数据丢失；当 Checkpoint 保存间隔超过预期时间的 2 倍时，触发警告级告警，提示存储性能不足。数据加载速度低于预期值的 50% 超过 10 分钟时，触发警告级告警，说明存在数据加载瓶颈；当数据预处理的 CPU 利用率持续高于 90% 超过 5 分钟时，触发警告级告警，提示需要优化数据预处理流程。</w:t>
      </w:r>
    </w:p>
    <w:p w14:paraId="5AA258E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五、推理服务层监控指标与告警规则</w:t>
      </w:r>
      <w:bookmarkEnd w:id="4"/>
    </w:p>
    <w:p w14:paraId="0C682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推理服务是 AI 系统对外提供服务的窗口，其可用性和性能直接影响用户体验，核心监控对象包括服务可用性、请求性能、错误率、资源使用和模型状态。服务可用性是最核心的指标，当推理服务的健康检查连续 3 次失败时，立即触发严重级告警；当服务实例的可用率低于 99% 超过 5 分钟时，触发严重级告警。</w:t>
      </w:r>
    </w:p>
    <w:p w14:paraId="5BA18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请求性能监控包括 QPS、平均延迟、P95 延迟和 P99 延迟，QPS 突增超过平时峰值的 200% 或突降超过 50% 且持续 2 分钟时，触发警告级告警，提示可能出现流量异常或服务故障。平均延迟高于预期值的 150% 超过 3 分钟时，触发警告级告警；P99 延迟高于 1 秒超过 2 分钟时，触发严重级告警，会严重影响用户体验；P999 延迟高于 3 秒超过 1 分钟时，触发严重级告警。</w:t>
      </w:r>
    </w:p>
    <w:p w14:paraId="3A34A6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错误率监控包括 HTTP 状态码错误率和业务错误率，HTTP 5xx 错误率高于 1% 超过 1 分钟时，触发严重级告警；HTTP 4xx 错误率高于 5% 超过 3 分钟时，触发警告级告警；业务逻辑错误率高于 0.1% 超过 2 分钟时，触发警告级告警，提示可能存在模型或代码问题。</w:t>
      </w:r>
    </w:p>
    <w:p w14:paraId="7A5565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资源使用监控包括 GPU 利用率、显存使用率、CPU 利用率和内存使用率，推理服务的 GPU 利用率持续低于 20% 超过 1 小时时，触发提示级告警，提示存在资源浪费；持续高于 90% 超过 5 分钟时，触发警告级告警，提示需要扩容或优化服务性能。显存使用率持续高于 80% 超过 3 分钟时，触发警告级告警；高于 90% 超过 1 分钟时，触发严重级告警，防止 OOM 错误。对于 vLLM 服务，KV 缓存使用率是特有的核心指标，当 KV 缓存使用率高于 85% 超过 3 分钟时，触发警告级告警；高于 90% 超过 1 分钟时，触发严重级告警，会导致新请求无法处理。</w:t>
      </w:r>
    </w:p>
    <w:p w14:paraId="04A64B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状态监控包括模型加载状态、模型版本和模型输出质量，当模型加载失败时，立即触发严重级告警；当模型热更新失败时，触发警告级告警；当模型输出的异常比例超过阈值时，触发警告级告警，提示可能存在模型损坏或数据漂移问题。批处理性能监控包括平均批处理大小和批处理等待时间，当平均批处理大小低于预期值的 50% 超过 5 分钟时，触发警告级告警，提示批处理配置不合理；批处理等待时间高于 100 毫秒超过 3 分钟时，触发警告级告警。</w:t>
      </w:r>
    </w:p>
    <w:p w14:paraId="6540914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六、业务层监控指标与告警规则</w:t>
      </w:r>
      <w:bookmarkEnd w:id="5"/>
    </w:p>
    <w:p w14:paraId="30514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业务层监控关注 AI 系统最终的业务价值和用户体验，是衡量系统运行效果的关键，核心监控对象包括用户行为、业务指标和系统整体健康度。用户行为监控包括总请求量、活跃用户数、用户地域分布和请求时段分布，总请求量突增超过平时峰值的 300% 或突降超过 70% 且持续 5 分钟时，触发严重级告警，提示可能出现业务异常或系统故障；活跃用户数低于平时平均值的 50% 超过 10 分钟时，触发警告级告警。</w:t>
      </w:r>
    </w:p>
    <w:p w14:paraId="153C3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业务指标监控根据不同的应用场景有所差异，对于对话式 AI 服务，核心指标包括对话轮次、平均对话长度、用户满意度和问题解决率；对于生成式 AI 服务，核心指标包括生成内容的质量评分、重复率和违规率。当用户满意度低于 80% 超过 1 小时时，触发警告级告警；当生成内容的违规率高于 0.1% 超过 30 分钟时，触发严重级告警，需要立即采取内容审核措施。</w:t>
      </w:r>
    </w:p>
    <w:p w14:paraId="15109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系统整体健康度监控包括服务可用性 SLA、平均故障恢复时间和故障频率，当服务可用性低于 99.9% 时，触发警告级告警；当平均故障恢复时间超过 30 分钟时，触发警告级告警；当故障频率高于每周 3 次时，触发警告级告警，提示需要优化系统稳定性。成本监控也是业务层的重要内容，当 GPU 资源的单位成本高于预期值的 20% 时，触发警告级告警；当月度成本超出预算的 10% 时，触发警告级告警，提示需要优化资源使用。</w:t>
      </w:r>
    </w:p>
    <w:p w14:paraId="621C836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七、告警分级与响应流程</w:t>
      </w:r>
      <w:bookmarkEnd w:id="6"/>
    </w:p>
    <w:p w14:paraId="2F4CB8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所有告警按照影响范围和严重程度分为四个等级，不同等级的告警对应不同的响应时间和处理流程。P0 级告警是最严重的故障，影响整个业务的正常运行，包括所有推理服务全线下线、GPU 集群大面积故障、etcd 集群数据丢失等，要求运维工程师在 5 分钟内响应，30 分钟内恢复服务，同时立即通知相关负责人。</w:t>
      </w:r>
    </w:p>
    <w:p w14:paraId="06951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P1 级告警影响部分业务或重要用户，包括单个推理服务集群下线、重要训练任务失败、核心组件故障等，要求运维工程师在 15 分钟内响应，2 小时内恢复服务。P2 级告警是性能下降或潜在故障，包括 GPU 温度过高、显存使用率过高、训练速度变慢等，要求运维工程师在 1 小时内响应，4 小时内解决问题。P3 级告警是通知类信息，包括资源使用率低、备份完成、任务正常结束等，不需要立即处理，运维工程师可以在工作时间内查看。</w:t>
      </w:r>
    </w:p>
    <w:p w14:paraId="50902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告警响应流程遵循标准化的处理步骤，首先是告警确认，运维工程师收到告警后，立即通过监控系统和日志系统确认故障的真实性和影响范围；其次是故障定位，根据告警信息和故障现象，按照从基础设施到业务层的顺序逐步排查，定位故障的根本原因；然后是故障恢复，采取紧急措施恢复服务，减少业务损失；最后是故障复盘，记录故障的详细信息、处理过程和解决方案，总结经验教训，优化监控系统和运维流程，避免类似故障再次发生。</w:t>
      </w:r>
    </w:p>
    <w:p w14:paraId="3A96EA9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八、监控最佳实践</w:t>
      </w:r>
      <w:bookmarkEnd w:id="7"/>
    </w:p>
    <w:p w14:paraId="0F03D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完善的监控体系只是第一步，还需要遵循一系列最佳实践，才能充分发挥监控系统的作用。首先要建立性能基线，在系统正常运行时收集各指标的基准数据，作为设置告警阈值的依据，避免盲目设置阈值导致误报或漏报。其次要合理设置告警阈值，根据业务的容忍度和系统的实际情况，设置不同等级的告警阈值，同时采用动态阈值和趋势告警，比静态阈值更能准确反映系统的异常状态。</w:t>
      </w:r>
    </w:p>
    <w:p w14:paraId="0976B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要实施告警降噪，减少不必要的告警通知，避免运维工程师被大量无效告警淹没。可以通过告警聚合，将同一故障引发的多个告警合并为一个；通过告警抑制，当高级别告警发生时，抑制相关的低级别告警；通过告警静默，在已知的维护时间段内暂时关闭告警。第四要定期进行故障演练，模拟各种故障场景，验证监控系统的有效性和运维工程师的应急响应能力，发现监控体系的薄弱环节并进行优化。</w:t>
      </w:r>
    </w:p>
    <w:p w14:paraId="711F4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第五要监控监控系统本身，确保 Prometheus、Grafana、Alertmanager 等监控组件的正常运行，避免监控系统故障导致无法及时发现业务故障。第六要持续优化监控体系，根据业务的发展和技术的更新，定期添加新的监控指标，调整告警阈值，淘汰无用的指标，保持监控体系的有效性和实用性。最后要将监控数据与运维流程深度融合，利用监控数据进行容量规划、性能优化和成本分析，提升整个 AI 系统的运维效率和运行质量。</w:t>
      </w:r>
    </w:p>
    <w:p w14:paraId="5A12BA1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九、附录</w:t>
      </w:r>
      <w:bookmarkEnd w:id="8"/>
    </w:p>
    <w:p w14:paraId="71C792C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常用 PromQL 查询示例</w:t>
      </w:r>
      <w:bookmarkEnd w:id="9"/>
    </w:p>
    <w:p w14:paraId="45DD5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 GPU 平均利用率：</w:t>
      </w:r>
      <w:r>
        <w:rPr>
          <w:rFonts w:ascii="Consolas" w:hAnsi="Consolas" w:eastAsia="Consolas" w:cs="Consolas"/>
          <w:sz w:val="22"/>
          <w:shd w:val="clear" w:fill="EFF0F1"/>
        </w:rPr>
        <w:t>avg by (instance, gpu) (DCGM_FI_DEV_GPU_UTIL)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 GPU 显存使用率：</w:t>
      </w:r>
      <w:r>
        <w:rPr>
          <w:rFonts w:ascii="Consolas" w:hAnsi="Consolas" w:eastAsia="Consolas" w:cs="Consolas"/>
          <w:sz w:val="22"/>
          <w:shd w:val="clear" w:fill="EFF0F1"/>
        </w:rPr>
        <w:t>avg by (instance, gpu) (DCGM_FI_DEV_FB_USED / DCGM_FI_DEV_FB_TOTAL * 100)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查询推理服务 QPS：</w:t>
      </w:r>
      <w:r>
        <w:rPr>
          <w:rFonts w:ascii="Consolas" w:hAnsi="Consolas" w:eastAsia="Consolas" w:cs="Consolas"/>
          <w:sz w:val="22"/>
          <w:shd w:val="clear" w:fill="EFF0F1"/>
        </w:rPr>
        <w:t>sum by (service) (rate(http_requests_total[1m]))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查询推理服务 P99 延迟：</w:t>
      </w:r>
      <w:r>
        <w:rPr>
          <w:rFonts w:ascii="Consolas" w:hAnsi="Consolas" w:eastAsia="Consolas" w:cs="Consolas"/>
          <w:sz w:val="22"/>
          <w:shd w:val="clear" w:fill="EFF0F1"/>
        </w:rPr>
        <w:t>histogram_quantile(0.99, sum by (le, service) (rate(http_request_duration_seconds_bucket[1m])))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 NCCL 通信错误次数：</w:t>
      </w:r>
      <w:r>
        <w:rPr>
          <w:rFonts w:ascii="Consolas" w:hAnsi="Consolas" w:eastAsia="Consolas" w:cs="Consolas"/>
          <w:sz w:val="22"/>
          <w:shd w:val="clear" w:fill="EFF0F1"/>
        </w:rPr>
        <w:t>sum by (instance) (rate(nccl_errors_total[5m]))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 Kubernetes 节点状态：</w:t>
      </w:r>
      <w:r>
        <w:rPr>
          <w:rFonts w:ascii="Consolas" w:hAnsi="Consolas" w:eastAsia="Consolas" w:cs="Consolas"/>
          <w:sz w:val="22"/>
          <w:shd w:val="clear" w:fill="EFF0F1"/>
        </w:rPr>
        <w:t>kube_node_status_condition{condition="Ready", status="true"} == 0</w:t>
      </w:r>
    </w:p>
    <w:p w14:paraId="3E0A544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参考资料</w:t>
      </w:r>
      <w:bookmarkEnd w:id="10"/>
    </w:p>
    <w:p w14:paraId="5DBA74D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硬件与驱动运维故障排查手册</w:t>
      </w:r>
    </w:p>
    <w:p w14:paraId="67C050D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NCCL 分布式通信故障排查与优化手册</w:t>
      </w:r>
    </w:p>
    <w:p w14:paraId="5129404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GPU 集群运维核心指南</w:t>
      </w:r>
    </w:p>
    <w:p w14:paraId="641B46B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大模型推理服务（vLLM/Triton）运维手册</w:t>
      </w:r>
    </w:p>
    <w:p w14:paraId="6B6CD30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Prometheus 官方文档：</w:t>
      </w:r>
      <w:r>
        <w:fldChar w:fldCharType="begin"/>
      </w:r>
      <w:r>
        <w:instrText xml:space="preserve"> HYPERLINK "https://prometheus.io/docs/introduction/overview/"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https://prometheus.io/docs/introduction/overview/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20946E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Grafana 官方文档：</w:t>
      </w:r>
      <w:r>
        <w:fldChar w:fldCharType="begin"/>
      </w:r>
      <w:r>
        <w:instrText xml:space="preserve"> HYPERLINK "https://grafana.com/docs/"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https://grafana.com/docs/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EDA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9A4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F678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6096</Words>
  <Characters>7427</Characters>
  <TotalTime>0</TotalTime>
  <ScaleCrop>false</ScaleCrop>
  <LinksUpToDate>false</LinksUpToDate>
  <CharactersWithSpaces>8033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2026-05-04T12:02:00Z</dcterms:created>
  <dc:creator>Apache POI</dc:creator>
  <cp:lastModifiedBy>百事可乐</cp:lastModifiedBy>
  <dcterms:modified xsi:type="dcterms:W3CDTF">2026-05-04T12:03:07Z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eyJoZGlkIjoiNWQ3MTEyZGI2ZWU5YTA1MjhkN2UwNmUxN2ZmNWRlZmEiLCJ1c2VySWQiOiIxMTIzMjM0ODc3In0=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FFAAF94A192B4C55B85EE94DD9D8252A_12</vt:lpwstr>
  </property>
</Properties>
</file>