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535E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运维 Top 100 常见故障速查手册</w:t>
      </w:r>
    </w:p>
    <w:p w14:paraId="4B6F4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 年 5 月 4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：企业级 AI 训练与推理集群，覆盖 NVIDIA GPU、Kubernetes、NCCL、vLLM、Triton 等主流技术栈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：为 AI 运维工程师提供快速故障定位与解决指南，覆盖 95% 以上的日常高频问题，平均缩短故障恢复时间 60% 以上</w:t>
      </w:r>
    </w:p>
    <w:p w14:paraId="56467F9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使用说明</w:t>
      </w:r>
      <w:bookmarkEnd w:id="0"/>
    </w:p>
    <w:p w14:paraId="096B7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本手册按 AI 运维技术栈分层组织，所有故障均包含</w:t>
      </w:r>
      <w:r>
        <w:rPr>
          <w:rFonts w:ascii="Arial" w:hAnsi="Arial" w:eastAsia="等线" w:cs="Arial"/>
          <w:b/>
          <w:sz w:val="22"/>
        </w:rPr>
        <w:t>现象描述、核心原因、快速解决方案</w:t>
      </w:r>
      <w:r>
        <w:rPr>
          <w:rFonts w:ascii="Arial" w:hAnsi="Arial" w:eastAsia="等线" w:cs="Arial"/>
          <w:sz w:val="22"/>
        </w:rPr>
        <w:t>三部分，采用连续段落式撰写以优化 RAG 检索效果。遇到问题时可通过关键词搜索直接定位对应条目，优先尝试标记为 "首选" 的解决方案。</w:t>
      </w:r>
    </w:p>
    <w:p w14:paraId="5A12CF2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一、基础设施层故障（1-30）</w:t>
      </w:r>
      <w:bookmarkEnd w:id="1"/>
    </w:p>
    <w:p w14:paraId="4C81CD7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无法识别（nvidia-smi 无输出）</w:t>
      </w:r>
      <w:r>
        <w:rPr>
          <w:rFonts w:ascii="Arial" w:hAnsi="Arial" w:eastAsia="等线" w:cs="Arial"/>
          <w:sz w:val="22"/>
        </w:rPr>
        <w:t>：执行 nvidia-smi 命令提示无法与 NVIDIA 驱动通信或无 GPU 设备显示，核心原因包括驱动未安装或加载失败、Secure Boot 阻止未签名内核模块、GPU 硬件未正确插接、主板 BIOS 禁用 PCIe 设备。首选解决方案是先执行 lsmod | grep nvidia 检查内核模块是否加载，若未加载则尝试 sudo modprobe nvidia，若加载失败且 mokutil --sb-state 显示 SecureBoot enabled，重启进入 BIOS 禁用 Secure Boot，若仍无效则彻底卸载旧驱动后通过 apt 安装推荐版本驱动，最后检查 GPU 物理连接。</w:t>
      </w:r>
    </w:p>
    <w:p w14:paraId="46FBAEE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驱动版本不兼容错误</w:t>
      </w:r>
      <w:r>
        <w:rPr>
          <w:rFonts w:ascii="Arial" w:hAnsi="Arial" w:eastAsia="等线" w:cs="Arial"/>
          <w:sz w:val="22"/>
        </w:rPr>
        <w:t>：运行 CUDA 程序提示 "CUDA driver version is insufficient for CUDA runtime version" 或容器内无法使用 GPU，核心原因是 CUDA Toolkit 版本高于驱动支持的最高版本、不同节点驱动版本不一致、容器镜像 CUDA 版本与宿主机驱动不匹配。首选解决方案是执行 nvidia-smi 查看驱动支持的最高 CUDA 版本，确保应用使用的 CUDA 版本不高于该值，集群内所有节点统一驱动版本，使用 NVIDIA 官方基础镜像并匹配宿主机驱动版本。</w:t>
      </w:r>
    </w:p>
    <w:p w14:paraId="76C5647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显存不足（OOM）错误</w:t>
      </w:r>
      <w:r>
        <w:rPr>
          <w:rFonts w:ascii="Arial" w:hAnsi="Arial" w:eastAsia="等线" w:cs="Arial"/>
          <w:sz w:val="22"/>
        </w:rPr>
        <w:t>：程序抛出 torch.cuda.OutOfMemoryError 异常或被系统 OOM Killer 终止，核心原因包括批处理大小过大、中间激活值占用过多显存、优化器状态未释放、显存泄漏、显存碎片化。首选解决方案是先减小批处理大小，启用 FP16/FP8 混合精度训练，启用梯度检查点技术，在推理时使用 INT4/INT8 量化，及时释放不再使用的张量并调用 torch.cuda.empty_cache ()，调整 vLLM 的 --gpu-memory-utilization 参数至 0.85 以下。</w:t>
      </w:r>
    </w:p>
    <w:p w14:paraId="1A02D50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显存泄漏</w:t>
      </w:r>
      <w:r>
        <w:rPr>
          <w:rFonts w:ascii="Arial" w:hAnsi="Arial" w:eastAsia="等线" w:cs="Arial"/>
          <w:sz w:val="22"/>
        </w:rPr>
        <w:t>：显存使用率随时间单调上升，即使无请求也不释放，最终导致 OOM 崩溃，核心原因包括张量引用未释放、计算图未销毁、第三方库 bug、自定义 CUDA 扩展泄漏、KV 缓存未正确回收。首选解决方案是启用 PyTorch 内存快照功能定位泄漏点，使用 del 语句显式释放张量，在推理时使用 torch.inference_mode () 禁用梯度计算，升级到最新版本的深度学习框架，对于 vLLM 启用 --enable-auto-gc 参数自动回收显存。</w:t>
      </w:r>
    </w:p>
    <w:p w14:paraId="28F516A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温度过高导致降频</w:t>
      </w:r>
      <w:r>
        <w:rPr>
          <w:rFonts w:ascii="Arial" w:hAnsi="Arial" w:eastAsia="等线" w:cs="Arial"/>
          <w:sz w:val="22"/>
        </w:rPr>
        <w:t>：GPU 温度持续高于 90℃，nvidia-smi 显示 Perf 状态低于 P0，训练或推理速度明显下降，核心原因包括风扇损坏、散热硅脂干涸、服务器灰尘过多、机房环境温度过高、功耗限制设置不合理。首选解决方案是执行 nvidia-smi -q -d FAN 检查风扇状态，更换损坏的风扇，清理服务器内部灰尘并重新涂抹散热硅脂，确保机房温度保持在 18-24℃，适当降低 GPU 功耗限制。</w:t>
      </w:r>
    </w:p>
    <w:p w14:paraId="503211D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ECC 错误</w:t>
      </w:r>
      <w:r>
        <w:rPr>
          <w:rFonts w:ascii="Arial" w:hAnsi="Arial" w:eastAsia="等线" w:cs="Arial"/>
          <w:sz w:val="22"/>
        </w:rPr>
        <w:t>：nvidia-smi 显示 ECC 错误计数增加，程序出现随机崩溃或计算结果错误，核心原因包括显存硬件故障、电源不稳定、温度过高、电磁干扰。首选解决方案是执行 nvidia-smi -q -d ECC 查看错误类型，单比特错误可重置错误计数后继续监控，若错误频繁发生则更换 GPU，双比特错误需立即停止使用该 GPU 并更换硬件。</w:t>
      </w:r>
    </w:p>
    <w:p w14:paraId="4E51429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进程占用显存无法释放</w:t>
      </w:r>
      <w:r>
        <w:rPr>
          <w:rFonts w:ascii="Arial" w:hAnsi="Arial" w:eastAsia="等线" w:cs="Arial"/>
          <w:sz w:val="22"/>
        </w:rPr>
        <w:t>：程序退出后显存仍被占用，nvidia-smi 显示有僵尸进程，核心原因包括程序异常退出未释放资源、CUDA 上下文未正确销毁、驱动 bug。首选解决方案是使用 fuser -v /dev/nvidia * 查找占用 GPU 的进程，执行 kill -9 PID 强制终止进程，若仍无法释放则执行 nvidia-smi --gpu-reset 重置 GPU，最后重启服务器。</w:t>
      </w:r>
    </w:p>
    <w:p w14:paraId="24A15E8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PCIe 链路速度下降</w:t>
      </w:r>
      <w:r>
        <w:rPr>
          <w:rFonts w:ascii="Arial" w:hAnsi="Arial" w:eastAsia="等线" w:cs="Arial"/>
          <w:sz w:val="22"/>
        </w:rPr>
        <w:t>：nvidia-smi 显示 PCIe 链路速度低于理论值，训练性能下降，核心原因包括 PCIe 插槽版本不匹配、GPU 未完全插入插槽、主板 BIOS 设置错误、电源供电不足。首选解决方案是检查 GPU 是否插入正确的 PCIe x16 插槽，重新插拔 GPU 确保完全插入，进入主板 BIOS 启用 PCIe Gen4/5 模式，检查电源供电是否充足。</w:t>
      </w:r>
    </w:p>
    <w:p w14:paraId="1D0ADE4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NVLink 链路故障</w:t>
      </w:r>
      <w:r>
        <w:rPr>
          <w:rFonts w:ascii="Arial" w:hAnsi="Arial" w:eastAsia="等线" w:cs="Arial"/>
          <w:sz w:val="22"/>
        </w:rPr>
        <w:t>：多 GPU 训练速度慢，nvidia-smi -q -d NVLINK 显示链路状态为 Down 或错误计数增加，核心原因包括 NVLink 桥接器未正确安装、GPU 之间间距过大、GPU 固件版本不一致、硬件故障。首选解决方案是检查 NVLink 桥接器是否正确安装且卡扣到位，确保所有 GPU 固件版本一致，执行 nvidia-smi nvlink -r 重置 NVLink 链路，若仍无效则更换桥接器或 GPU。</w:t>
      </w:r>
    </w:p>
    <w:p w14:paraId="0DAC19D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InfiniBand 网卡无法识别</w:t>
      </w:r>
      <w:r>
        <w:rPr>
          <w:rFonts w:ascii="Arial" w:hAnsi="Arial" w:eastAsia="等线" w:cs="Arial"/>
          <w:sz w:val="22"/>
        </w:rPr>
        <w:t>：执行 ibstat 无输出或显示端口状态为 Down，核心原因包括网卡未正确安装、驱动未加载、线缆松动、交换机端口故障。首选解决方案是执行 lspci | grep -i mellanox 检查网卡是否被识别，执行 modprobe mlx5_core 加载驱动，重新插拔 InfiniBand 线缆，检查交换机端口状态，更换有问题的线缆或端口。</w:t>
      </w:r>
    </w:p>
    <w:p w14:paraId="706BC52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InfiniBand 网络丢包</w:t>
      </w:r>
      <w:r>
        <w:rPr>
          <w:rFonts w:ascii="Arial" w:hAnsi="Arial" w:eastAsia="等线" w:cs="Arial"/>
          <w:sz w:val="22"/>
        </w:rPr>
        <w:t>：ib_write_bw 测试显示带宽低且有丢包，NCCL 通信超时，核心原因包括线缆质量差、交换机配置错误、固件版本过旧、电磁干扰。首选解决方案是执行 ibqueryerrors 查看错误计数，更换高质量的 InfiniBand 线缆，升级网卡和交换机固件，配置正确的服务级别和流量控制，检查周围是否有强电磁干扰源。</w:t>
      </w:r>
    </w:p>
    <w:p w14:paraId="0F2C9A1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RoCE 网络丢包严重</w:t>
      </w:r>
      <w:r>
        <w:rPr>
          <w:rFonts w:ascii="Arial" w:hAnsi="Arial" w:eastAsia="等线" w:cs="Arial"/>
          <w:sz w:val="22"/>
        </w:rPr>
        <w:t>：分布式训练性能低下，ethtool -S 显示大量 RoCE 丢包和 CRC 错误，核心原因包括未配置无损以太网、PFC/ECN 参数错误、交换机拥塞、网卡固件过旧。首选解决方案是在交换机和网卡上启用 PFC 优先级流量控制和 ECN 显式拥塞通知，配置 DCQCN 拥塞控制算法，升级网卡固件，调整 MTU 为 9000 字节使用巨型帧。</w:t>
      </w:r>
    </w:p>
    <w:p w14:paraId="72A8201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NFS 存储挂载失败</w:t>
      </w:r>
      <w:r>
        <w:rPr>
          <w:rFonts w:ascii="Arial" w:hAnsi="Arial" w:eastAsia="等线" w:cs="Arial"/>
          <w:sz w:val="22"/>
        </w:rPr>
        <w:t>：Pod 启动时挂载 NFS 卷失败，提示 "mount.nfs: Connection timed out"，核心原因包括 NFS 服务器地址错误、防火墙阻止 NFS 端口、NFS 服务未运行、权限配置错误。首选解决方案是检查 NFS 服务器地址是否正确，确保服务器 111 和 2049 端口开放，在 NFS 服务器上执行 systemctl status nfs-server 检查服务状态，配置正确的共享目录权限和客户端访问权限。</w:t>
      </w:r>
    </w:p>
    <w:p w14:paraId="375E39A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分布式存储读写性能低下</w:t>
      </w:r>
      <w:r>
        <w:rPr>
          <w:rFonts w:ascii="Arial" w:hAnsi="Arial" w:eastAsia="等线" w:cs="Arial"/>
          <w:sz w:val="22"/>
        </w:rPr>
        <w:t>：数据加载速度慢，训练过程中 GPU 经常空闲等待数据，核心原因包括存储网络带宽不足、存储节点负载过高、条带大小配置不合理、缓存未启用。首选解决方案是检查存储网络带宽是否达到瓶颈，增加存储节点数量，调整条带大小匹配 AI 工作负载的 IO 模式，启用 SSD 缓存加速热点数据访问。</w:t>
      </w:r>
    </w:p>
    <w:p w14:paraId="28E4E20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服务器内存不足</w:t>
      </w:r>
      <w:r>
        <w:rPr>
          <w:rFonts w:ascii="Arial" w:hAnsi="Arial" w:eastAsia="等线" w:cs="Arial"/>
          <w:sz w:val="22"/>
        </w:rPr>
        <w:t>：系统出现大量 swap 交换，训练任务运行缓慢或崩溃，核心原因包括内存配置不足、数据加载器占用过多内存、内存泄漏、其他进程占用大量内存。首选解决方案是增加服务器内存容量，优化数据加载器减少内存占用，使用 numactl 限制进程的内存使用，终止不必要的后台进程。</w:t>
      </w:r>
    </w:p>
    <w:p w14:paraId="6387DCA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CPU 利用率过高</w:t>
      </w:r>
      <w:r>
        <w:rPr>
          <w:rFonts w:ascii="Arial" w:hAnsi="Arial" w:eastAsia="等线" w:cs="Arial"/>
          <w:sz w:val="22"/>
        </w:rPr>
        <w:t>：GPU 利用率低，大部分时间 CPU 处于满负载状态，核心原因包括数据预处理瓶颈、Python GIL 限制、多线程配置不当、CPU 型号过旧。首选解决方案是使用 DALI 数据加载库将预处理操作移到 GPU 上执行，优化数据加载流水线，增加数据加载线程数，使用多进程代替多线程，升级到更高性能的 CPU。</w:t>
      </w:r>
    </w:p>
    <w:p w14:paraId="736EDE2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服务器电源故障</w:t>
      </w:r>
      <w:r>
        <w:rPr>
          <w:rFonts w:ascii="Arial" w:hAnsi="Arial" w:eastAsia="等线" w:cs="Arial"/>
          <w:sz w:val="22"/>
        </w:rPr>
        <w:t>：服务器突然关机或无法启动，电源指示灯不亮或显示红色，核心原因包括电源模块损坏、供电线路故障、过载保护触发、电源风扇故障。首选解决方案是检查供电线路是否正常，更换故障的电源模块，确保服务器总功耗不超过电源额定功率，清理电源风扇灰尘。</w:t>
      </w:r>
    </w:p>
    <w:p w14:paraId="79A7446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磁盘空间不足</w:t>
      </w:r>
      <w:r>
        <w:rPr>
          <w:rFonts w:ascii="Arial" w:hAnsi="Arial" w:eastAsia="等线" w:cs="Arial"/>
          <w:sz w:val="22"/>
        </w:rPr>
        <w:t>：程序无法写入文件，训练任务崩溃，核心原因包括日志文件过大、旧 checkpoint 未清理、数据集重复存储、系统缓存占用过多空间。首选解决方案是执行 df -h 查看磁盘使用情况，删除不必要的日志文件和旧 checkpoint，配置日志轮转策略，将数据集存储在独立的大容量磁盘上，清理系统缓存。</w:t>
      </w:r>
    </w:p>
    <w:p w14:paraId="08B2167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inode 耗尽</w:t>
      </w:r>
      <w:r>
        <w:rPr>
          <w:rFonts w:ascii="Arial" w:hAnsi="Arial" w:eastAsia="等线" w:cs="Arial"/>
          <w:sz w:val="22"/>
        </w:rPr>
        <w:t>：磁盘还有剩余空间但无法创建新文件，提示 "No space left on device"，核心原因是大量小文件占用了所有 inode。首选解决方案是执行 df -i 查看 inode 使用情况，删除不必要的小文件，将大量小文件打包成大文件存储，重新格式化磁盘增加 inode 数量。</w:t>
      </w:r>
    </w:p>
    <w:p w14:paraId="01E6555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系统时间不同步</w:t>
      </w:r>
      <w:r>
        <w:rPr>
          <w:rFonts w:ascii="Arial" w:hAnsi="Arial" w:eastAsia="等线" w:cs="Arial"/>
          <w:sz w:val="22"/>
        </w:rPr>
        <w:t>：分布式训练任务失败，日志中出现时间戳异常，核心原因是 NTP 服务未运行或配置错误。首选解决方案是执行 timedatectl status 检查系统时间状态，安装并配置 NTP 服务，确保所有节点时间同步，误差不超过 1 秒。</w:t>
      </w:r>
    </w:p>
    <w:p w14:paraId="11381E5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SSH 连接失败</w:t>
      </w:r>
      <w:r>
        <w:rPr>
          <w:rFonts w:ascii="Arial" w:hAnsi="Arial" w:eastAsia="等线" w:cs="Arial"/>
          <w:sz w:val="22"/>
        </w:rPr>
        <w:t>：无法通过 SSH 远程连接服务器，核心原因包括 SSH 服务未运行、防火墙阻止 22 端口、IP 地址冲突、SSH 配置错误。首选解决方案是在服务器本地执行 systemctl status sshd 检查服务状态，确保防火墙开放 22 端口，检查 IP 地址是否冲突，恢复默认的 SSH 配置文件。</w:t>
      </w:r>
    </w:p>
    <w:p w14:paraId="509CADE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内核崩溃</w:t>
      </w:r>
      <w:r>
        <w:rPr>
          <w:rFonts w:ascii="Arial" w:hAnsi="Arial" w:eastAsia="等线" w:cs="Arial"/>
          <w:sz w:val="22"/>
        </w:rPr>
        <w:t>：服务器突然重启，系统日志中出现 kernel panic 错误，核心原因包括硬件故障、驱动 bug、内核参数配置错误、内存错误。首选解决方案是查看 /var/log/kern.log 日志定位崩溃原因，升级到最新的稳定内核版本，更新硬件驱动，运行内存测试工具检查内存是否存在故障。</w:t>
      </w:r>
    </w:p>
    <w:p w14:paraId="7678412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固件版本过旧</w:t>
      </w:r>
      <w:r>
        <w:rPr>
          <w:rFonts w:ascii="Arial" w:hAnsi="Arial" w:eastAsia="等线" w:cs="Arial"/>
          <w:sz w:val="22"/>
        </w:rPr>
        <w:t>：新功能无法使用或出现兼容性问题，核心原因是 GPU 固件版本低于驱动要求的最低版本。首选解决方案是从 NVIDIA 官网下载对应型号的最新固件，按照官方指南进行升级，升级后重启服务器。</w:t>
      </w:r>
    </w:p>
    <w:p w14:paraId="684072E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NVIDIA Persistenced 服务未运行</w:t>
      </w:r>
      <w:r>
        <w:rPr>
          <w:rFonts w:ascii="Arial" w:hAnsi="Arial" w:eastAsia="等线" w:cs="Arial"/>
          <w:sz w:val="22"/>
        </w:rPr>
        <w:t>：GPU 初始化时间长，偶尔出现无法识别的情况，核心原因是 nvidia-persistenced 服务未启动或崩溃。首选解决方案是执行 systemctl status nvidia-persistenced 检查服务状态，启用并启动服务 systemctl enable --now nvidia-persistenced。</w:t>
      </w:r>
    </w:p>
    <w:p w14:paraId="1880EAC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CUDA 安装不完整</w:t>
      </w:r>
      <w:r>
        <w:rPr>
          <w:rFonts w:ascii="Arial" w:hAnsi="Arial" w:eastAsia="等线" w:cs="Arial"/>
          <w:sz w:val="22"/>
        </w:rPr>
        <w:t>：编译 CUDA 程序失败或运行时缺少库文件，核心原因是 CUDA Toolkit 安装时缺少组件、环境变量未正确配置。首选解决方案是彻底卸载 CUDA 后重新安装完整版本，配置 CUDA_HOME 环境变量并将 CUDA 的 bin 和 lib64 目录添加到 PATH 和 LD_LIBRARY_PATH 中。</w:t>
      </w:r>
    </w:p>
    <w:p w14:paraId="722B50E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cuDNN 版本不匹配</w:t>
      </w:r>
      <w:r>
        <w:rPr>
          <w:rFonts w:ascii="Arial" w:hAnsi="Arial" w:eastAsia="等线" w:cs="Arial"/>
          <w:sz w:val="22"/>
        </w:rPr>
        <w:t>：深度学习框架运行时提示 cuDNN 版本错误，核心原因是 cuDNN 版本与 CUDA 版本不兼容。首选解决方案是参考 NVIDIA 官方兼容性矩阵，下载并安装对应 CUDA 版本的 cuDNN，替换系统中的旧版本库文件。</w:t>
      </w:r>
    </w:p>
    <w:p w14:paraId="1F39A1B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TensorRT 引擎编译失败</w:t>
      </w:r>
      <w:r>
        <w:rPr>
          <w:rFonts w:ascii="Arial" w:hAnsi="Arial" w:eastAsia="等线" w:cs="Arial"/>
          <w:sz w:val="22"/>
        </w:rPr>
        <w:t>：模型转换为 TensorRT 引擎时出错，核心原因是模型算子不支持、TensorRT 版本与 CUDA 版本不兼容、显存不足。首选解决方案是检查模型中是否有 TensorRT 不支持的算子，使用 ONNX Simplifier 简化模型，确保 TensorRT 版本与 CUDA 版本兼容，增加编译时的显存限制。</w:t>
      </w:r>
    </w:p>
    <w:p w14:paraId="1E918F8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 BIOS 设置错误</w:t>
      </w:r>
      <w:r>
        <w:rPr>
          <w:rFonts w:ascii="Arial" w:hAnsi="Arial" w:eastAsia="等线" w:cs="Arial"/>
          <w:sz w:val="22"/>
        </w:rPr>
        <w:t>：硬件性能无法发挥或出现兼容性问题，核心原因是 BIOS 中 PCIe 设置、电源管理设置、内存设置错误。首选解决方案是进入 BIOS 恢复默认设置，启用 PCIe Gen4/5 模式，禁用不必要的电源管理功能，设置内存为 XMP 模式。</w:t>
      </w:r>
    </w:p>
    <w:p w14:paraId="17E8568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虚拟化问题</w:t>
      </w:r>
      <w:r>
        <w:rPr>
          <w:rFonts w:ascii="Arial" w:hAnsi="Arial" w:eastAsia="等线" w:cs="Arial"/>
          <w:sz w:val="22"/>
        </w:rPr>
        <w:t>：虚拟机内无法使用 GPU 或性能低下，核心原因是 GPU 直通配置错误、虚拟化驱动未安装、宿主机资源不足。首选解决方案是检查宿主机是否启用了 VT-d/AMD-Vi 技术，正确配置 GPU 直通，在虚拟机内安装 NVIDIA 驱动，为虚拟机分配足够的 CPU 和内存资源。</w:t>
      </w:r>
    </w:p>
    <w:p w14:paraId="0081A69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硬件兼容性问题</w:t>
      </w:r>
      <w:r>
        <w:rPr>
          <w:rFonts w:ascii="Arial" w:hAnsi="Arial" w:eastAsia="等线" w:cs="Arial"/>
          <w:sz w:val="22"/>
        </w:rPr>
        <w:t>：新安装的 GPU 无法正常工作，核心原因是主板不支持该 GPU 型号、电源功率不足、机箱空间不足。首选解决方案是检查主板兼容性列表，确保电源额定功率满足 GPU 需求，更换更大的机箱或使用外置 GPU 扩展坞。</w:t>
      </w:r>
    </w:p>
    <w:p w14:paraId="4D6A3A1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二、Kubernetes GPU 集群层故障（31-50）</w:t>
      </w:r>
      <w:bookmarkEnd w:id="2"/>
    </w:p>
    <w:p w14:paraId="2D55461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资源无法调度</w:t>
      </w:r>
      <w:r>
        <w:rPr>
          <w:rFonts w:ascii="Arial" w:hAnsi="Arial" w:eastAsia="等线" w:cs="Arial"/>
          <w:sz w:val="22"/>
        </w:rPr>
        <w:t xml:space="preserve">：Pod 一直处于 Pending 状态，事件显示 "Insufficient 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"，核心原因包括集群无可用 GPU、GPU Operator 部署失败、节点有污点、Pod 资源请求错误、调度器配置错误。首选解决方案是执行 kubectl describe nodes | grep 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查看可用 GPU 资源，检查 GPU Operator 所有 Pod 是否处于 Running 状态，为 Pod 添加对应污点的容忍，确保 Pod 资源请求使用正确的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资源类型。</w:t>
      </w:r>
    </w:p>
    <w:p w14:paraId="2866BA1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Operator 部署失败</w:t>
      </w:r>
      <w:r>
        <w:rPr>
          <w:rFonts w:ascii="Arial" w:hAnsi="Arial" w:eastAsia="等线" w:cs="Arial"/>
          <w:sz w:val="22"/>
        </w:rPr>
        <w:t>：nvidia-driver-daemonset Pod 处于 CrashLoopBackOff 状态，核心原因包括内核版本与驱动不兼容、Secure Boot 启用、内核头文件未安装、网络问题无法下载镜像。首选解决方案是查看 Pod 日志获取具体错误信息，确保内核版本与驱动版本兼容，禁用 Secure Boot 或为驱动模块签名，安装对应内核版本的头文件，配置镜像加速器。</w:t>
      </w:r>
    </w:p>
    <w:p w14:paraId="3B419EA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容器内无法使用 GPU</w:t>
      </w:r>
      <w:r>
        <w:rPr>
          <w:rFonts w:ascii="Arial" w:hAnsi="Arial" w:eastAsia="等线" w:cs="Arial"/>
          <w:sz w:val="22"/>
        </w:rPr>
        <w:t>：容器内执行 nvidia-smi 报错，核心原因包括 NVIDIA Container Toolkit 未安装、Docker 运行时未配置、容器未请求 GPU 资源、宿主机驱动与容器 CUDA 版本不兼容。首选解决方案是安装 NVIDIA Container Toolkit 并配置 Docker 运行时，重启 Docker 服务，在 Pod 的 resources.limits 中添加</w:t>
      </w:r>
      <w:r>
        <w:fldChar w:fldCharType="begin"/>
      </w:r>
      <w:r>
        <w:instrText xml:space="preserve"> HYPERLINK "https://nvidia.com/gpu"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nvidia.com/gpu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: 1，确保容器 CUDA 版本不高于宿主机驱动支持的版本。</w:t>
      </w:r>
    </w:p>
    <w:p w14:paraId="15939B1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Pod 启动失败（CrashLoopBackOff）</w:t>
      </w:r>
      <w:r>
        <w:rPr>
          <w:rFonts w:ascii="Arial" w:hAnsi="Arial" w:eastAsia="等线" w:cs="Arial"/>
          <w:sz w:val="22"/>
        </w:rPr>
        <w:t>：Pod 不断重启，状态为 CrashLoopBackOff，核心原因包括镜像拉取失败、命令执行错误、配置文件错误、资源不足、权限不足。首选解决方案是执行 kubectl logs 查看容器日志，执行 kubectl describe pod 查看事件信息，检查镜像是否存在且可访问，验证启动命令是否正确，确保资源请求和权限配置正确。</w:t>
      </w:r>
    </w:p>
    <w:p w14:paraId="4B7B9FB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 NotReady 状态</w:t>
      </w:r>
      <w:r>
        <w:rPr>
          <w:rFonts w:ascii="Arial" w:hAnsi="Arial" w:eastAsia="等线" w:cs="Arial"/>
          <w:sz w:val="22"/>
        </w:rPr>
        <w:t>：节点状态显示为 NotReady，无法调度 Pod，核心原因包括 kubelet 服务未运行、网络插件故障、节点资源耗尽、证书过期、磁盘压力过大。首选解决方案是登录节点执行 systemctl status kubelet 检查服务状态，查看 kubelet 日志，检查网络插件 Pod 是否正常运行，清理磁盘空间，更新过期证书。</w:t>
      </w:r>
    </w:p>
    <w:p w14:paraId="0D8E399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Kubernetes 调度器异常</w:t>
      </w:r>
      <w:r>
        <w:rPr>
          <w:rFonts w:ascii="Arial" w:hAnsi="Arial" w:eastAsia="等线" w:cs="Arial"/>
          <w:sz w:val="22"/>
        </w:rPr>
        <w:t>：Pod 无法调度或调度到不合适的节点，核心原因包括调度器 Pod 崩溃、调度策略配置错误、节点标签不正确、资源计算错误。首选解决方案是执行 kubectl get pods -n kube-system | grep kube-scheduler 检查调度器状态，查看调度器日志，验证节点标签和 Pod 节点选择器是否正确，重启调度器 Pod。</w:t>
      </w:r>
    </w:p>
    <w:p w14:paraId="28E0854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etcd 集群故障</w:t>
      </w:r>
      <w:r>
        <w:rPr>
          <w:rFonts w:ascii="Arial" w:hAnsi="Arial" w:eastAsia="等线" w:cs="Arial"/>
          <w:sz w:val="22"/>
        </w:rPr>
        <w:t>：Kubernetes 集群无响应，无法创建或修改资源，核心原因包括 etcd 节点故障、网络分区、数据损坏、证书过期。首选解决方案是检查 etcd 集群健康状态，恢复故障的 etcd 节点，修复网络分区，从备份恢复数据，更新过期证书。</w:t>
      </w:r>
    </w:p>
    <w:p w14:paraId="2B950AE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PersistentVolumeClaim（PVC）绑定失败</w:t>
      </w:r>
      <w:r>
        <w:rPr>
          <w:rFonts w:ascii="Arial" w:hAnsi="Arial" w:eastAsia="等线" w:cs="Arial"/>
          <w:sz w:val="22"/>
        </w:rPr>
        <w:t>：PVC 一直处于 Pending 状态，无法绑定到 PV，核心原因包括没有可用的 PV、StorageClass 不存在、访问模式不匹配、容量不足。首选解决方案是执行 kubectl get pv 查看可用 PV，确保 StorageClass 已正确创建，PVC 的访问模式和容量与 PV 匹配，动态供应时检查存储插件是否正常运行。</w:t>
      </w:r>
    </w:p>
    <w:p w14:paraId="4519A27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存储卷挂载失败</w:t>
      </w:r>
      <w:r>
        <w:rPr>
          <w:rFonts w:ascii="Arial" w:hAnsi="Arial" w:eastAsia="等线" w:cs="Arial"/>
          <w:sz w:val="22"/>
        </w:rPr>
        <w:t>：Pod 启动时挂载存储卷失败，提示 "MountVolume.SetUp failed"，核心原因包括 PV 配置错误、存储服务器故障、网络问题、权限不足。首选解决方案是查看 Pod 事件信息，检查 PV 的配置是否正确，验证存储服务器是否正常运行，测试节点与存储服务器之间的网络连通性，配置正确的存储访问权限。</w:t>
      </w:r>
    </w:p>
    <w:p w14:paraId="22D6D37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Kubernetes 网络故障</w:t>
      </w:r>
      <w:r>
        <w:rPr>
          <w:rFonts w:ascii="Arial" w:hAnsi="Arial" w:eastAsia="等线" w:cs="Arial"/>
          <w:sz w:val="22"/>
        </w:rPr>
        <w:t>：Pod 之间无法通信，Service 无法访问，核心原因包括网络插件故障、网络策略阻止通信、DNS 解析失败、节点防火墙配置错误。首选解决方案是检查网络插件 Pod 是否正常运行，查看是否有网络策略阻止了 Pod 之间的通信，测试 CoreDNS 解析是否正常，确保节点防火墙开放 Kubernetes 所需端口。</w:t>
      </w:r>
    </w:p>
    <w:p w14:paraId="3AD4B76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CoreDNS 解析失败</w:t>
      </w:r>
      <w:r>
        <w:rPr>
          <w:rFonts w:ascii="Arial" w:hAnsi="Arial" w:eastAsia="等线" w:cs="Arial"/>
          <w:sz w:val="22"/>
        </w:rPr>
        <w:t>：Pod 内无法解析域名，核心原因包括 CoreDNS Pod 未运行、CoreDNS 配置错误、上游 DNS 服务器不可达、网络问题。首选解决方案是执行 kubectl get pods -n kube-system | grep coredns 检查 CoreDNS 状态，查看 CoreDNS 配置，测试上游 DNS 服务器是否可达，重启 CoreDNS Pod。</w:t>
      </w:r>
    </w:p>
    <w:p w14:paraId="3EB82C4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Ingress 无法访问</w:t>
      </w:r>
      <w:r>
        <w:rPr>
          <w:rFonts w:ascii="Arial" w:hAnsi="Arial" w:eastAsia="等线" w:cs="Arial"/>
          <w:sz w:val="22"/>
        </w:rPr>
        <w:t>：通过 Ingress 域名无法访问服务，核心原因包括 Ingress Controller 未部署、Ingress 规则配置错误、域名解析错误、证书问题、Service 不可达。首选解决方案是检查 Ingress Controller Pod 是否正常运行，验证 Ingress 规则配置是否正确，确保域名解析到 Ingress Controller 的 IP 地址，检查 TLS 证书是否有效，测试后端 Service 是否可访问。</w:t>
      </w:r>
    </w:p>
    <w:p w14:paraId="789D02E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Kubernetes 证书过期</w:t>
      </w:r>
      <w:r>
        <w:rPr>
          <w:rFonts w:ascii="Arial" w:hAnsi="Arial" w:eastAsia="等线" w:cs="Arial"/>
          <w:sz w:val="22"/>
        </w:rPr>
        <w:t>：集群组件无法通信，提示证书过期错误，核心原因是 Kubernetes 集群证书有效期通常为 1 年，到期后未更新。首选解决方案是使用 kubeadm certs check-expiration 检查证书有效期，执行 kubeadm certs renew all 更新所有证书，重启控制平面组件和 kubelet 服务。</w:t>
      </w:r>
    </w:p>
    <w:p w14:paraId="2ED77CF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节点资源泄漏</w:t>
      </w:r>
      <w:r>
        <w:rPr>
          <w:rFonts w:ascii="Arial" w:hAnsi="Arial" w:eastAsia="等线" w:cs="Arial"/>
          <w:sz w:val="22"/>
        </w:rPr>
        <w:t>：节点可用资源逐渐减少，即使没有运行 Pod 也显示资源已被占用，核心原因包括僵尸进程占用资源、未释放的网络端口、挂载点泄漏、内核资源泄漏。首选解决方案是清理僵尸进程，重启 kubelet 服务刷新节点资源状态，卸载未使用的挂载点，升级到最新的稳定内核版本。</w:t>
      </w:r>
    </w:p>
    <w:p w14:paraId="5DC8354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Volcano 调度器故障</w:t>
      </w:r>
      <w:r>
        <w:rPr>
          <w:rFonts w:ascii="Arial" w:hAnsi="Arial" w:eastAsia="等线" w:cs="Arial"/>
          <w:sz w:val="22"/>
        </w:rPr>
        <w:t>：分布式训练任务无法调度或调度异常，核心原因包括 Volcano 组件未正常运行、队列配置错误、PodGroup 资源不足、调度策略冲突。首选解决方案是执行 kubectl get pods -n volcano-system 检查 Volcano 组件状态，查看队列配置和资源使用情况，确保 PodGroup 的 minAvailable 设置正确，调整调度策略避免冲突。</w:t>
      </w:r>
    </w:p>
    <w:p w14:paraId="385AB4A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Kubernetes 升级失败</w:t>
      </w:r>
      <w:r>
        <w:rPr>
          <w:rFonts w:ascii="Arial" w:hAnsi="Arial" w:eastAsia="等线" w:cs="Arial"/>
          <w:sz w:val="22"/>
        </w:rPr>
        <w:t>：集群升级后出现各种异常，核心原因包括升级步骤错误、组件版本不兼容、配置文件丢失、数据损坏。首选解决方案是回滚到之前的稳定版本，按照官方升级指南重新进行升级，确保所有组件版本兼容，备份重要数据和配置文件。</w:t>
      </w:r>
    </w:p>
    <w:p w14:paraId="032C5DB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镜像拉取失败</w:t>
      </w:r>
      <w:r>
        <w:rPr>
          <w:rFonts w:ascii="Arial" w:hAnsi="Arial" w:eastAsia="等线" w:cs="Arial"/>
          <w:sz w:val="22"/>
        </w:rPr>
        <w:t>：Pod 启动时提示 "ImagePullBackOff"，核心原因包括镜像名称错误、镜像仓库不可达、认证信息错误、镜像不存在、网络问题。首选解决方案是检查镜像名称和标签是否正确，测试节点是否能访问镜像仓库，配置正确的镜像拉取密钥，确保镜像存在于仓库中，配置镜像加速器。</w:t>
      </w:r>
    </w:p>
    <w:p w14:paraId="7FF6FF9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Pod 驱逐问题</w:t>
      </w:r>
      <w:r>
        <w:rPr>
          <w:rFonts w:ascii="Arial" w:hAnsi="Arial" w:eastAsia="等线" w:cs="Arial"/>
          <w:sz w:val="22"/>
        </w:rPr>
        <w:t>：Pod 被节点自动驱逐，核心原因包括节点资源不足、节点磁盘压力过大、节点内存压力过大、节点网络不可用。首选解决方案是增加节点资源，清理磁盘空间，优化 Pod 的资源请求和限制，配置 Pod 的优先级和 QoS 类，避免重要 Pod 被驱逐。</w:t>
      </w:r>
    </w:p>
    <w:p w14:paraId="45DFB9C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Kubernetes API Server 无响应</w:t>
      </w:r>
      <w:r>
        <w:rPr>
          <w:rFonts w:ascii="Arial" w:hAnsi="Arial" w:eastAsia="等线" w:cs="Arial"/>
          <w:sz w:val="22"/>
        </w:rPr>
        <w:t>：无法执行 kubectl 命令，提示 "connection refused"，核心原因包括 API Server Pod 崩溃、etcd 集群故障、端口被占用、证书问题。首选解决方案是检查 API Server Pod 状态和日志，验证 etcd 集群是否正常运行，确保 6443 端口未被占用，检查 API Server 证书是否有效。</w:t>
      </w:r>
    </w:p>
    <w:p w14:paraId="27F3AB0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 资源状态不一致</w:t>
      </w:r>
      <w:r>
        <w:rPr>
          <w:rFonts w:ascii="Arial" w:hAnsi="Arial" w:eastAsia="等线" w:cs="Arial"/>
          <w:sz w:val="22"/>
        </w:rPr>
        <w:t>：节点显示有可用 GPU 但实际已被占用，核心原因是 Pod 被强制删除后 GPU 资源未被 kubelet 正确回收。首选解决方案是重启该节点上的 kubelet 服务 systemctl restart kubelet，kubelet 会重新扫描 GPU 资源并更新状态。</w:t>
      </w:r>
    </w:p>
    <w:p w14:paraId="10EA1B7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三、分布式训练层故障（51-70）</w:t>
      </w:r>
      <w:bookmarkEnd w:id="3"/>
    </w:p>
    <w:p w14:paraId="1A53A06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NCCL 初始化失败</w:t>
      </w:r>
      <w:r>
        <w:rPr>
          <w:rFonts w:ascii="Arial" w:hAnsi="Arial" w:eastAsia="等线" w:cs="Arial"/>
          <w:sz w:val="22"/>
        </w:rPr>
        <w:t>：分布式训练程序启动时卡住或抛出 NCCL 错误，核心原因包括节点之间网络不通、防火墙阻止 NCCL 端口、NCCL 版本不一致、网络接口选择错误、GPU P2P 通信失败。首选解决方案是设置 NCCL_DEBUG=INFO 查看调试信息，使用 ibping 或 ping 测试节点之间的连通性，开放 1024-65535 端口范围，确保所有节点 NCCL 版本完全相同，通过 NCCL_SOCKET_IFNAME 指定正确的网络接口。</w:t>
      </w:r>
    </w:p>
    <w:p w14:paraId="334AF8D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NCCL 通信超时</w:t>
      </w:r>
      <w:r>
        <w:rPr>
          <w:rFonts w:ascii="Arial" w:hAnsi="Arial" w:eastAsia="等线" w:cs="Arial"/>
          <w:sz w:val="22"/>
        </w:rPr>
        <w:t>：训练过程中突然卡住，一段时间后抛出通信超时错误，核心原因包括网络不稳定丢包、某个节点 GPU 故障、进程被挂起、网络拥塞、超时时间设置过短。首选解决方案是检查所有节点 GPU 和网络状态，使用 ibqueryerrors 查看网络错误计数，增加 NCCL_TIMEOUT 环境变量至 300 秒，提高训练进程优先级，避免网络拥塞。</w:t>
      </w:r>
    </w:p>
    <w:p w14:paraId="178A59C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NCCL 通信性能低下</w:t>
      </w:r>
      <w:r>
        <w:rPr>
          <w:rFonts w:ascii="Arial" w:hAnsi="Arial" w:eastAsia="等线" w:cs="Arial"/>
          <w:sz w:val="22"/>
        </w:rPr>
        <w:t>：多机训练加速比差，GPU 利用率低，核心原因包括未启用 GPUDirect RDMA、网络配置错误、NCCL 算法选择不当、进程亲和性错误、网络拓扑不合理。首选解决方案是安装 nvidia-peermem 内核模块启用 GPUDirect RDMA，设置 NCCL_NET_GDR_LEVEL=3，优化 InfiniBand/RoCE 网络配置，正确绑定进程到 CPU 核心和 NUMA 节点，使用拓扑感知调度。</w:t>
      </w:r>
    </w:p>
    <w:p w14:paraId="5AC1115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分布式训练任务启动失败</w:t>
      </w:r>
      <w:r>
        <w:rPr>
          <w:rFonts w:ascii="Arial" w:hAnsi="Arial" w:eastAsia="等线" w:cs="Arial"/>
          <w:sz w:val="22"/>
        </w:rPr>
        <w:t>：任务启动后立即崩溃，核心原因包括 MPI 配置错误、节点之间 SSH 免密登录未配置、数据集路径不一致、环境变量未正确传递、依赖库版本不一致。首选解决方案是检查 MPI 命令参数是否正确，配置所有节点之间的 SSH 免密登录，确保所有节点都能访问相同路径的数据集，使用 mpirun 的 - x 参数传递环境变量，统一所有节点的依赖环境。</w:t>
      </w:r>
    </w:p>
    <w:p w14:paraId="72AC289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训练过程中梯度爆炸 / 消失</w:t>
      </w:r>
      <w:r>
        <w:rPr>
          <w:rFonts w:ascii="Arial" w:hAnsi="Arial" w:eastAsia="等线" w:cs="Arial"/>
          <w:sz w:val="22"/>
        </w:rPr>
        <w:t>：损失值变为 NaN 或训练不收敛，核心原因包括学习率过高、初始化不当、网络结构问题、梯度裁剪未启用、混合精度训练参数错误。首选解决方案是降低学习率，启用梯度裁剪，检查网络结构是否合理，调整混合精度训练的缩放因子，使用更好的权重初始化方法。</w:t>
      </w:r>
    </w:p>
    <w:p w14:paraId="70BFD02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训练损失值不下降</w:t>
      </w:r>
      <w:r>
        <w:rPr>
          <w:rFonts w:ascii="Arial" w:hAnsi="Arial" w:eastAsia="等线" w:cs="Arial"/>
          <w:sz w:val="22"/>
        </w:rPr>
        <w:t>：训练多个 epoch 后损失值没有明显变化，核心原因包括数据预处理错误、学习率过低或过高、优化器选择不当、模型容量不足、标签错误。首选解决方案是检查数据预处理和标签是否正确，调整学习率和优化器参数，增加模型容量，尝试使用学习率调度器。</w:t>
      </w:r>
    </w:p>
    <w:p w14:paraId="39000F3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Checkpoint 加载失败</w:t>
      </w:r>
      <w:r>
        <w:rPr>
          <w:rFonts w:ascii="Arial" w:hAnsi="Arial" w:eastAsia="等线" w:cs="Arial"/>
          <w:sz w:val="22"/>
        </w:rPr>
        <w:t>：恢复训练时无法加载 checkpoint 文件，核心原因包括 checkpoint 文件损坏、模型结构与 checkpoint 不匹配、PyTorch/TensorFlow 版本不兼容、文件权限错误。首选解决方案是验证 checkpoint 文件的完整性，确保模型结构与训练时完全一致，使用相同版本的深度学习框架加载，检查文件权限是否正确。</w:t>
      </w:r>
    </w:p>
    <w:p w14:paraId="52A767D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Checkpoint 保存失败</w:t>
      </w:r>
      <w:r>
        <w:rPr>
          <w:rFonts w:ascii="Arial" w:hAnsi="Arial" w:eastAsia="等线" w:cs="Arial"/>
          <w:sz w:val="22"/>
        </w:rPr>
        <w:t>：训练过程中无法保存 checkpoint，核心原因包括磁盘空间不足、文件系统权限错误、存储服务器故障、程序崩溃。首选解决方案是检查磁盘空间是否充足，配置正确的文件保存权限，确保存储服务器正常运行，增加异常处理逻辑在程序崩溃前保存 checkpoint。</w:t>
      </w:r>
    </w:p>
    <w:p w14:paraId="13148E3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数据加载瓶颈</w:t>
      </w:r>
      <w:r>
        <w:rPr>
          <w:rFonts w:ascii="Arial" w:hAnsi="Arial" w:eastAsia="等线" w:cs="Arial"/>
          <w:sz w:val="22"/>
        </w:rPr>
        <w:t>：GPU 利用率低，大部分时间等待数据加载，核心原因包括存储性能不足、数据加载器线程数过少、数据预处理过于复杂、数据未缓存。首选解决方案是使用高性能并行文件系统，增加数据加载线程数，使用 DALI 库加速数据预处理，将常用数据缓存到内存或本地 SSD。</w:t>
      </w:r>
    </w:p>
    <w:p w14:paraId="699B1CE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训练任务挂起无响应</w:t>
      </w:r>
      <w:r>
        <w:rPr>
          <w:rFonts w:ascii="Arial" w:hAnsi="Arial" w:eastAsia="等线" w:cs="Arial"/>
          <w:sz w:val="22"/>
        </w:rPr>
        <w:t>：训练任务运行一段时间后卡住，没有任何输出，核心原因包括死锁、通信故障、磁盘 IO 阻塞、GPU 硬件故障。首选解决方案是查看进程状态和系统日志，检查是否有死锁情况，验证网络通信是否正常，监控磁盘 IO 性能，检查 GPU 硬件状态。</w:t>
      </w:r>
    </w:p>
    <w:p w14:paraId="5CFC0EC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多机训练负载不均衡</w:t>
      </w:r>
      <w:r>
        <w:rPr>
          <w:rFonts w:ascii="Arial" w:hAnsi="Arial" w:eastAsia="等线" w:cs="Arial"/>
          <w:sz w:val="22"/>
        </w:rPr>
        <w:t>：不同节点的 GPU 利用率差异大，核心原因包括数据分片不均匀、节点硬件性能差异、任务分配不合理、通信延迟差异。首选解决方案是使用均匀的数据分片策略，将任务调度到相同硬件配置的节点上，调整任务分配方式，优化网络通信减少延迟差异。</w:t>
      </w:r>
    </w:p>
    <w:p w14:paraId="58F9846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混合精度训练错误</w:t>
      </w:r>
      <w:r>
        <w:rPr>
          <w:rFonts w:ascii="Arial" w:hAnsi="Arial" w:eastAsia="等线" w:cs="Arial"/>
          <w:sz w:val="22"/>
        </w:rPr>
        <w:t>：使用混合精度训练时出现 NaN 损失或精度下降，核心原因包括缩放因子设置不当、某些算子不支持混合精度、梯度溢出。首选解决方案是调整损失缩放因子，使用动态损失缩放，识别并替换不支持混合精度的算子，启用梯度裁剪。</w:t>
      </w:r>
    </w:p>
    <w:p w14:paraId="1A49628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分布式数据并行（DDP）错误</w:t>
      </w:r>
      <w:r>
        <w:rPr>
          <w:rFonts w:ascii="Arial" w:hAnsi="Arial" w:eastAsia="等线" w:cs="Arial"/>
          <w:sz w:val="22"/>
        </w:rPr>
        <w:t>：DDP 训练时出现错误或性能低下，核心原因包括进程组初始化错误、模型未正确包装、梯度同步问题、设备分配错误。首选解决方案是检查 DDP 初始化代码，确保模型正确包装为 DDP 模型，验证梯度同步是否正常，每个进程分配唯一的 GPU 设备。</w:t>
      </w:r>
    </w:p>
    <w:p w14:paraId="034F45D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Megatron-LM 训练故障</w:t>
      </w:r>
      <w:r>
        <w:rPr>
          <w:rFonts w:ascii="Arial" w:hAnsi="Arial" w:eastAsia="等线" w:cs="Arial"/>
          <w:sz w:val="22"/>
        </w:rPr>
        <w:t>：大模型训练时出现各种错误，核心原因包括并行策略配置错误、模型分片不当、NCCL 通信问题、显存不足。首选解决方案是检查张量并行和流水线并行的配置是否正确，根据模型大小和 GPU 数量调整并行度，优化 NCCL 通信性能，启用梯度检查点和混合精度训练。</w:t>
      </w:r>
    </w:p>
    <w:p w14:paraId="6D10D4A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DeepSpeed 训练故障</w:t>
      </w:r>
      <w:r>
        <w:rPr>
          <w:rFonts w:ascii="Arial" w:hAnsi="Arial" w:eastAsia="等线" w:cs="Arial"/>
          <w:sz w:val="22"/>
        </w:rPr>
        <w:t>：使用 DeepSpeed 训练时出现错误或性能低下，核心原因包括 DeepSpeed 配置文件错误、ZeRO 阶段设置不当、内存优化参数错误、版本不兼容。首选解决方案是检查 DeepSpeed 配置文件，根据显存情况选择合适的 ZeRO 阶段，调整内存优化参数，确保 DeepSpeed 版本与 PyTorch 版本兼容。</w:t>
      </w:r>
    </w:p>
    <w:p w14:paraId="61B19D5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训练日志丢失</w:t>
      </w:r>
      <w:r>
        <w:rPr>
          <w:rFonts w:ascii="Arial" w:hAnsi="Arial" w:eastAsia="等线" w:cs="Arial"/>
          <w:sz w:val="22"/>
        </w:rPr>
        <w:t>：训练过程中日志突然停止写入或丢失，核心原因包括磁盘空间不足、日志轮转配置错误、程序崩溃、日志收集服务故障。首选解决方案是检查磁盘空间，配置正确的日志轮转策略，将日志写入到持久化存储中，使用 ELK 或 Loki 等日志收集系统集中存储日志。</w:t>
      </w:r>
    </w:p>
    <w:p w14:paraId="51ED54A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训练任务被抢占</w:t>
      </w:r>
      <w:r>
        <w:rPr>
          <w:rFonts w:ascii="Arial" w:hAnsi="Arial" w:eastAsia="等线" w:cs="Arial"/>
          <w:sz w:val="22"/>
        </w:rPr>
        <w:t>：训练任务突然终止，核心原因是集群资源不足，高优先级任务抢占了低优先级任务的资源。首选解决方案是提高任务的优先级，使用 Volcano 的抢占调度功能，配置任务的检查点自动保存，以便被抢占后可以快速恢复。</w:t>
      </w:r>
    </w:p>
    <w:p w14:paraId="25E3C05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数据集不一致</w:t>
      </w:r>
      <w:r>
        <w:rPr>
          <w:rFonts w:ascii="Arial" w:hAnsi="Arial" w:eastAsia="等线" w:cs="Arial"/>
          <w:sz w:val="22"/>
        </w:rPr>
        <w:t>：不同节点上的数据集内容或版本不一致，导致训练结果异常，核心原因是数据集同步不完整、数据分片错误、文件损坏。首选解决方案是使用分布式文件系统存储数据集，确保所有节点访问相同的数据集，验证数据集的完整性和一致性，使用正确的数据分片策略。</w:t>
      </w:r>
    </w:p>
    <w:p w14:paraId="136C1C6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环境变量传递错误</w:t>
      </w:r>
      <w:r>
        <w:rPr>
          <w:rFonts w:ascii="Arial" w:hAnsi="Arial" w:eastAsia="等线" w:cs="Arial"/>
          <w:sz w:val="22"/>
        </w:rPr>
        <w:t>：分布式训练时环境变量未正确传递到所有节点，导致程序运行错误，核心原因是 MPI 或启动脚本未正确传递环境变量。首选解决方案是使用 mpirun 的 - x 参数传递所有需要的环境变量，在启动脚本中显式设置环境变量，使用容器化部署确保环境一致性。</w:t>
      </w:r>
    </w:p>
    <w:p w14:paraId="6ED8775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训练结果不可复现</w:t>
      </w:r>
      <w:r>
        <w:rPr>
          <w:rFonts w:ascii="Arial" w:hAnsi="Arial" w:eastAsia="等线" w:cs="Arial"/>
          <w:sz w:val="22"/>
        </w:rPr>
        <w:t>：相同的配置和数据集训练结果差异大，核心原因包括随机种子未固定、多线程随机性、CUDA 算子随机性、硬件差异。首选解决方案是固定所有随机种子，包括 Python、NumPy、PyTorch/TensorFlow 的随机种子，禁用多线程随机性，设置 torch.backends.cudnn.deterministic=True，使用相同的硬件环境进行训练。</w:t>
      </w:r>
    </w:p>
    <w:p w14:paraId="2B43E54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四、推理服务层故障（71-90）</w:t>
      </w:r>
      <w:bookmarkEnd w:id="4"/>
    </w:p>
    <w:p w14:paraId="708ACAB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vLLM 服务启动失败</w:t>
      </w:r>
      <w:r>
        <w:rPr>
          <w:rFonts w:ascii="Arial" w:hAnsi="Arial" w:eastAsia="等线" w:cs="Arial"/>
          <w:sz w:val="22"/>
        </w:rPr>
        <w:t>：vLLM 服务启动后立即退出，核心原因包括模型文件损坏、CUDA 版本不兼容、显存不足、启动参数错误、依赖库缺失。首选解决方案是查看服务日志获取具体错误信息，验证模型文件的完整性，确保 CUDA 版本与 vLLM 版本兼容，减小张量并行大小或使用量化模型，检查启动参数是否正确。</w:t>
      </w:r>
    </w:p>
    <w:p w14:paraId="765D249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Triton 服务启动失败</w:t>
      </w:r>
      <w:r>
        <w:rPr>
          <w:rFonts w:ascii="Arial" w:hAnsi="Arial" w:eastAsia="等线" w:cs="Arial"/>
          <w:sz w:val="22"/>
        </w:rPr>
        <w:t>：Triton 服务启动失败或无法加载模型，核心原因包括模型仓库结构错误、config.pbtxt 配置文件错误、后端不支持、模型文件损坏、权限不足。首选解决方案是检查模型仓库目录结构是否符合 Triton 要求，验证 config.pbtxt 配置文件的语法和内容，确保使用的后端已正确安装，检查模型文件权限和完整性。</w:t>
      </w:r>
    </w:p>
    <w:p w14:paraId="3FBFBA7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推理延迟过高</w:t>
      </w:r>
      <w:r>
        <w:rPr>
          <w:rFonts w:ascii="Arial" w:hAnsi="Arial" w:eastAsia="等线" w:cs="Arial"/>
          <w:sz w:val="22"/>
        </w:rPr>
        <w:t>：用户请求响应时间长，核心原因包括批处理配置不当、未启用量化、CPU 预处理瓶颈、网络延迟高、模型分片不当。首选解决方案是优化 vLLM 的 max-num-batched-tokens 和 max-num-seqs 参数，启用 INT4/FP8 量化，将预处理操作移到 GPU 上执行，使用 gRPC 协议代替 HTTP，调整张量并行大小。</w:t>
      </w:r>
    </w:p>
    <w:p w14:paraId="6E7B595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推理服务吞吐量低</w:t>
      </w:r>
      <w:r>
        <w:rPr>
          <w:rFonts w:ascii="Arial" w:hAnsi="Arial" w:eastAsia="等线" w:cs="Arial"/>
          <w:sz w:val="22"/>
        </w:rPr>
        <w:t>：QPS 上不去，GPU 利用率低，核心原因包括连续批处理未优化、并发数设置过低、KV 缓存命中率低、存储性能不足、资源竞争。首选解决方案是优化 vLLM 的批处理参数，增加客户端并发请求数，启用前缀缓存功能，使用高速存储加载模型，为服务分配独立的 GPU 资源。</w:t>
      </w:r>
    </w:p>
    <w:p w14:paraId="2AFC9A0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推理服务显存泄漏</w:t>
      </w:r>
      <w:r>
        <w:rPr>
          <w:rFonts w:ascii="Arial" w:hAnsi="Arial" w:eastAsia="等线" w:cs="Arial"/>
          <w:sz w:val="22"/>
        </w:rPr>
        <w:t>：显存使用率随时间上升，最终 OOM 崩溃，核心原因包括 KV 缓存未正确回收、第三方库泄漏、自定义代码泄漏、Triton 模型未自动卸载。首选解决方案是升级到最新版本的 vLLM/Triton，启用自动垃圾回收功能，配置 Triton 模型自动卸载，检查并修复自定义代码中的内存泄漏。</w:t>
      </w:r>
    </w:p>
    <w:p w14:paraId="439EBDD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 调用返回 500 错误</w:t>
      </w:r>
      <w:r>
        <w:rPr>
          <w:rFonts w:ascii="Arial" w:hAnsi="Arial" w:eastAsia="等线" w:cs="Arial"/>
          <w:sz w:val="22"/>
        </w:rPr>
        <w:t>：调用推理 API 时返回 500 Internal Server Error，核心原因包括服务内部异常、模型推理错误、输入格式错误、资源不足。首选解决方案是查看服务日志获取详细错误信息，验证输入数据的格式和内容是否符合要求，检查 GPU 显存和内存是否充足，重启服务尝试恢复。</w:t>
      </w:r>
    </w:p>
    <w:p w14:paraId="580F793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 调用返回 404 错误</w:t>
      </w:r>
      <w:r>
        <w:rPr>
          <w:rFonts w:ascii="Arial" w:hAnsi="Arial" w:eastAsia="等线" w:cs="Arial"/>
          <w:sz w:val="22"/>
        </w:rPr>
        <w:t>：调用推理 API 时返回 404 Not Found，核心原因包括模型名称错误、模型未加载、服务地址错误、API 路径错误。首选解决方案是检查模型名称是否正确，验证模型是否已成功加载到服务中，确认服务地址和 API 路径是否正确。</w:t>
      </w:r>
    </w:p>
    <w:p w14:paraId="324C348B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 调用返回 400 错误</w:t>
      </w:r>
      <w:r>
        <w:rPr>
          <w:rFonts w:ascii="Arial" w:hAnsi="Arial" w:eastAsia="等线" w:cs="Arial"/>
          <w:sz w:val="22"/>
        </w:rPr>
        <w:t>：调用推理 API 时返回 400 Bad Request，核心原因包括请求参数错误、JSON 格式错误、缺少必要字段、参数值超出范围。首选解决方案是检查请求的 JSON 格式是否正确，确保所有必要字段都已包含，验证参数值是否在允许的范围内，参考 API 文档调整请求参数。</w:t>
      </w:r>
    </w:p>
    <w:p w14:paraId="6AC4BE8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推理结果错误</w:t>
      </w:r>
      <w:r>
        <w:rPr>
          <w:rFonts w:ascii="Arial" w:hAnsi="Arial" w:eastAsia="等线" w:cs="Arial"/>
          <w:sz w:val="22"/>
        </w:rPr>
        <w:t>：模型输出结果不符合预期，核心原因包括模型文件损坏、量化精度损失、输入预处理错误、模型版本错误、推理后端 bug。首选解决方案是验证模型文件的完整性，使用 FP16 精度测试对比结果，检查输入预处理和输出后处理代码，确认使用的模型版本正确，升级到最新版本的推理后端。</w:t>
      </w:r>
    </w:p>
    <w:p w14:paraId="44F5801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流式输出异常</w:t>
      </w:r>
      <w:r>
        <w:rPr>
          <w:rFonts w:ascii="Arial" w:hAnsi="Arial" w:eastAsia="等线" w:cs="Arial"/>
          <w:sz w:val="22"/>
        </w:rPr>
        <w:t>：流式输出中断或乱码，核心原因包括网络连接不稳定、服务端缓冲区设置不当、客户端处理错误、Nginx 反向代理配置错误。首选解决方案是检查网络连接是否稳定，调整服务端的输出缓冲区大小，修复客户端的流式处理代码，配置 Nginx 支持流式输出。</w:t>
      </w:r>
    </w:p>
    <w:p w14:paraId="75FBCBD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多模型部署冲突</w:t>
      </w:r>
      <w:r>
        <w:rPr>
          <w:rFonts w:ascii="Arial" w:hAnsi="Arial" w:eastAsia="等线" w:cs="Arial"/>
          <w:sz w:val="22"/>
        </w:rPr>
        <w:t>：同一节点部署多个模型时出现资源竞争或性能下降，核心原因包括 GPU 显存不足、端口冲突、环境依赖冲突、调度不合理。首选解决方案是使用 MIG 技术分割 GPU 实现资源隔离，为每个服务分配独立的端口，使用容器化部署隔离环境，使用模型网关统一调度多模型。</w:t>
      </w:r>
    </w:p>
    <w:p w14:paraId="40983387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模型热加载失败</w:t>
      </w:r>
      <w:r>
        <w:rPr>
          <w:rFonts w:ascii="Arial" w:hAnsi="Arial" w:eastAsia="等线" w:cs="Arial"/>
          <w:sz w:val="22"/>
        </w:rPr>
        <w:t>：更新模型后 Triton 无法自动加载新模型，核心原因包括模型仓库结构错误、新版本模型配置错误、文件权限问题、Triton 未启用模型热加载。首选解决方案是检查模型仓库的目录结构和文件权限，验证新版本模型的 config.pbtxt 配置，确保 Triton 启动时添加了 --model-control-mode=poll 参数。</w:t>
      </w:r>
    </w:p>
    <w:p w14:paraId="129A1D6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vLLM OpenAI 兼容 API 错误</w:t>
      </w:r>
      <w:r>
        <w:rPr>
          <w:rFonts w:ascii="Arial" w:hAnsi="Arial" w:eastAsia="等线" w:cs="Arial"/>
          <w:sz w:val="22"/>
        </w:rPr>
        <w:t>：使用 OpenAI SDK 调用 vLLM 时出现错误，核心原因包括 API 版本不兼容、参数不支持、base_url 设置错误、认证信息错误。首选解决方案是检查 vLLM 版本是否支持使用的 OpenAI SDK 版本，参考 vLLM 文档确认支持的参数，确保 base_url 设置正确，vLLM 默认不需要认证。</w:t>
      </w:r>
    </w:p>
    <w:p w14:paraId="73EA083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Triton perf_analyzer 测试失败</w:t>
      </w:r>
      <w:r>
        <w:rPr>
          <w:rFonts w:ascii="Arial" w:hAnsi="Arial" w:eastAsia="等线" w:cs="Arial"/>
          <w:sz w:val="22"/>
        </w:rPr>
        <w:t>：使用 perf_analyzer 测试 Triton 性能时出现错误，核心原因包括模型名称错误、服务地址错误、输入数据格式错误、权限不足。首选解决方案是检查模型名称和服务地址是否正确，验证输入数据的格式和形状是否与模型输入匹配，确保有访问 Triton 服务的权限。</w:t>
      </w:r>
    </w:p>
    <w:p w14:paraId="03A2FDC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推理服务崩溃自动重启</w:t>
      </w:r>
      <w:r>
        <w:rPr>
          <w:rFonts w:ascii="Arial" w:hAnsi="Arial" w:eastAsia="等线" w:cs="Arial"/>
          <w:sz w:val="22"/>
        </w:rPr>
        <w:t>：服务频繁崩溃并自动重启，核心原因包括 OOM 错误、驱动崩溃、硬件故障、程序 bug、请求过载。首选解决方案是查看服务崩溃时的日志，增加 GPU 显存或使用量化模型，升级 GPU 驱动到最新稳定版本，检查 GPU 硬件状态，修复程序中的 bug，实施限流机制。</w:t>
      </w:r>
    </w:p>
    <w:p w14:paraId="7DFBE77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冷启动时间过长</w:t>
      </w:r>
      <w:r>
        <w:rPr>
          <w:rFonts w:ascii="Arial" w:hAnsi="Arial" w:eastAsia="等线" w:cs="Arial"/>
          <w:sz w:val="22"/>
        </w:rPr>
        <w:t>：服务启动后需要很长时间才能处理请求，核心原因包括模型文件过大、未启用模型缓存、存储性能不足、GPU 初始化慢。首选解决方案是使用量化减小模型体积，启用模型缓存功能，使用高速 NVMe 存储，将常用模型预加载到 GPU 中。</w:t>
      </w:r>
    </w:p>
    <w:p w14:paraId="60C1D57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负载均衡异常</w:t>
      </w:r>
      <w:r>
        <w:rPr>
          <w:rFonts w:ascii="Arial" w:hAnsi="Arial" w:eastAsia="等线" w:cs="Arial"/>
          <w:sz w:val="22"/>
        </w:rPr>
        <w:t>：多个推理服务实例之间负载不均衡，核心原因包括负载均衡算法不当、会话保持配置错误、实例性能差异、服务发现问题。首选解决方案是使用轮询或最小连接数负载均衡算法，禁用不必要的会话保持，确保所有实例的硬件配置相同，检查服务发现是否正常工作。</w:t>
      </w:r>
    </w:p>
    <w:p w14:paraId="45CD6AB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Triton 后端错误</w:t>
      </w:r>
      <w:r>
        <w:rPr>
          <w:rFonts w:ascii="Arial" w:hAnsi="Arial" w:eastAsia="等线" w:cs="Arial"/>
          <w:sz w:val="22"/>
        </w:rPr>
        <w:t>：使用特定后端时出现错误，核心原因包括后端未正确安装、模型与后端不兼容、后端配置错误、版本不兼容。首选解决方案是检查后端是否已正确安装，验证模型是否支持该后端，调整后端配置参数，升级到兼容的版本。</w:t>
      </w:r>
    </w:p>
    <w:p w14:paraId="6A7DA9B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推理服务监控指标缺失</w:t>
      </w:r>
      <w:r>
        <w:rPr>
          <w:rFonts w:ascii="Arial" w:hAnsi="Arial" w:eastAsia="等线" w:cs="Arial"/>
          <w:sz w:val="22"/>
        </w:rPr>
        <w:t>：Prometheus 无法采集到推理服务的指标，核心原因包括服务未暴露 metrics 端点、Prometheus 配置错误、网络不通、指标端口被占用。首选解决方案是验证服务的 /metrics 端点是否可访问，检查 Prometheus 的抓取配置，确保 Prometheus 服务器能访问服务的指标端口，更换被占用的端口。</w:t>
      </w:r>
    </w:p>
    <w:p w14:paraId="173C10A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大模型长文本推理失败</w:t>
      </w:r>
      <w:r>
        <w:rPr>
          <w:rFonts w:ascii="Arial" w:hAnsi="Arial" w:eastAsia="等线" w:cs="Arial"/>
          <w:sz w:val="22"/>
        </w:rPr>
        <w:t>：处理长文本时出现 OOM 或推理失败，核心原因包括模型最大序列长度限制、KV 缓存不足、显存不足。首选解决方案是增大 --max-model-len 参数，启用滑动窗口注意力，使用 FP8 量化减少显存占用，调整 KV 缓存的大小限制。</w:t>
      </w:r>
    </w:p>
    <w:p w14:paraId="1B30493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五、监控告警与其他故障（91-100）</w:t>
      </w:r>
      <w:bookmarkEnd w:id="5"/>
    </w:p>
    <w:p w14:paraId="60BF816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监控告警误报</w:t>
      </w:r>
      <w:r>
        <w:rPr>
          <w:rFonts w:ascii="Arial" w:hAnsi="Arial" w:eastAsia="等线" w:cs="Arial"/>
          <w:sz w:val="22"/>
        </w:rPr>
        <w:t>：频繁收到错误的告警通知，核心原因包括告警阈值设置不合理、指标采集错误、告警规则逻辑错误、数据波动大。首选解决方案是调整告警阈值使其符合实际情况，检查指标采集是否正确，优化告警规则逻辑，添加数据平滑处理和告警抑制机制。</w:t>
      </w:r>
    </w:p>
    <w:p w14:paraId="631B5A1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监控告警漏报</w:t>
      </w:r>
      <w:r>
        <w:rPr>
          <w:rFonts w:ascii="Arial" w:hAnsi="Arial" w:eastAsia="等线" w:cs="Arial"/>
          <w:sz w:val="22"/>
        </w:rPr>
        <w:t>：发生故障时没有收到告警通知，核心原因包括告警规则未配置、指标采集失败、告警通知渠道故障、告警级别设置错误。首选解决方案是检查是否配置了对应的告警规则，验证指标采集是否正常，测试告警通知渠道是否可用，调整告警级别确保重要故障能及时通知。</w:t>
      </w:r>
    </w:p>
    <w:p w14:paraId="4503F05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Prometheus 数据丢失</w:t>
      </w:r>
      <w:r>
        <w:rPr>
          <w:rFonts w:ascii="Arial" w:hAnsi="Arial" w:eastAsia="等线" w:cs="Arial"/>
          <w:sz w:val="22"/>
        </w:rPr>
        <w:t>：监控数据不完整或丢失，核心原因包括 Prometheus 存储不足、数据保留时间过短、采集间隔过大、Prometheus 崩溃。首选解决方案是增加 Prometheus 的存储容量，调整数据保留时间，根据需要设置合适的采集间隔，配置 Prometheus 高可用部署。</w:t>
      </w:r>
    </w:p>
    <w:p w14:paraId="123A34C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Grafana 仪表盘无法显示</w:t>
      </w:r>
      <w:r>
        <w:rPr>
          <w:rFonts w:ascii="Arial" w:hAnsi="Arial" w:eastAsia="等线" w:cs="Arial"/>
          <w:sz w:val="22"/>
        </w:rPr>
        <w:t>：Grafana 页面无法加载或显示空白，核心原因包括 Grafana 服务未运行、数据库连接失败、权限不足、仪表盘配置错误。首选解决方案是检查 Grafana 服务状态，验证数据库连接是否正常，确保用户有访问仪表盘的权限，恢复备份的仪表盘配置。</w:t>
      </w:r>
    </w:p>
    <w:p w14:paraId="57B1872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日志采集失败</w:t>
      </w:r>
      <w:r>
        <w:rPr>
          <w:rFonts w:ascii="Arial" w:hAnsi="Arial" w:eastAsia="等线" w:cs="Arial"/>
          <w:sz w:val="22"/>
        </w:rPr>
        <w:t>：ELK/Loki 无法采集到服务日志，核心原因包括日志采集代理未安装、配置错误、网络不通、日志格式不支持。首选解决方案是检查日志采集代理是否正常运行，验证采集配置是否正确，确保采集代理能访问日志文件和日志服务器，调整日志格式使其符合采集要求。</w:t>
      </w:r>
    </w:p>
    <w:p w14:paraId="0D4B5FD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数据安全问题</w:t>
      </w:r>
      <w:r>
        <w:rPr>
          <w:rFonts w:ascii="Arial" w:hAnsi="Arial" w:eastAsia="等线" w:cs="Arial"/>
          <w:sz w:val="22"/>
        </w:rPr>
        <w:t>：训练数据或模型文件泄露，核心原因包括权限配置错误、未加密传输、存储安全漏洞、人员操作失误。首选解决方案是配置严格的访问控制权限，使用 HTTPS 加密传输，启用存储加密，定期进行安全审计，加强人员安全培训。</w:t>
      </w:r>
    </w:p>
    <w:p w14:paraId="05BF741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权限不足错误</w:t>
      </w:r>
      <w:r>
        <w:rPr>
          <w:rFonts w:ascii="Arial" w:hAnsi="Arial" w:eastAsia="等线" w:cs="Arial"/>
          <w:sz w:val="22"/>
        </w:rPr>
        <w:t>：执行操作时提示权限不足，核心原因包括用户角色配置错误、RBAC 权限不足、文件系统权限错误、服务账户权限不足。首选解决方案是检查用户的角色和权限，分配必要的 RBAC 权限，调整文件系统的权限，为服务账户配置正确的权限。</w:t>
      </w:r>
    </w:p>
    <w:p w14:paraId="75E6C2DA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备份失败</w:t>
      </w:r>
      <w:r>
        <w:rPr>
          <w:rFonts w:ascii="Arial" w:hAnsi="Arial" w:eastAsia="等线" w:cs="Arial"/>
          <w:sz w:val="22"/>
        </w:rPr>
        <w:t>：数据备份任务失败，核心原因包括存储不足、网络问题、源数据损坏、备份脚本错误。首选解决方案是检查备份存储的容量，测试网络连通性，验证源数据的完整性，修复备份脚本中的错误。</w:t>
      </w:r>
    </w:p>
    <w:p w14:paraId="4A2F362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灾难恢复失败</w:t>
      </w:r>
      <w:r>
        <w:rPr>
          <w:rFonts w:ascii="Arial" w:hAnsi="Arial" w:eastAsia="等线" w:cs="Arial"/>
          <w:sz w:val="22"/>
        </w:rPr>
        <w:t>：发生故障后无法从备份恢复数据，核心原因包括备份数据损坏、恢复流程错误、硬件不兼容、软件版本不一致。首选解决方案是定期测试备份数据的可恢复性，制定详细的灾难恢复流程并进行演练，确保恢复环境与原环境一致。</w:t>
      </w:r>
    </w:p>
    <w:p w14:paraId="440F340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成本过高</w:t>
      </w:r>
      <w:r>
        <w:rPr>
          <w:rFonts w:ascii="Arial" w:hAnsi="Arial" w:eastAsia="等线" w:cs="Arial"/>
          <w:sz w:val="22"/>
        </w:rPr>
        <w:t>：AI 集群运营成本超出预算，核心原因包括 GPU 资源利用率低、闲置资源未回收、实例选型不当、存储成本过高。首选解决方案是优化任务调度提高 GPU 利用率，自动回收闲置资源，选择合适的 GPU 实例类型，使用冷热数据分层存储降低存储成本。</w:t>
      </w:r>
    </w:p>
    <w:p w14:paraId="4444430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附录</w:t>
      </w:r>
      <w:bookmarkEnd w:id="6"/>
    </w:p>
    <w:p w14:paraId="54324EC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常用故障排查流程</w:t>
      </w:r>
      <w:bookmarkEnd w:id="7"/>
    </w:p>
    <w:p w14:paraId="0B54456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基础设施层排查：先检查 GPU、网络、存储、服务器等硬件是否正常</w:t>
      </w:r>
    </w:p>
    <w:p w14:paraId="2EEDA25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平台层排查：再检查 Kubernetes 集群、GPU Operator、调度器等组件是否正常</w:t>
      </w:r>
    </w:p>
    <w:p w14:paraId="111FBF4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应用层排查：最后检查训练任务或推理服务的配置、日志和代码</w:t>
      </w:r>
    </w:p>
    <w:p w14:paraId="1926FDF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参考资料</w:t>
      </w:r>
      <w:bookmarkEnd w:id="8"/>
    </w:p>
    <w:p w14:paraId="5F739F3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硬件与驱动运维故障排查手册</w:t>
      </w:r>
    </w:p>
    <w:p w14:paraId="3F8CE97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NCCL 分布式通信故障排查与优化手册</w:t>
      </w:r>
    </w:p>
    <w:p w14:paraId="669FD23F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GPU 集群运维核心指南</w:t>
      </w:r>
    </w:p>
    <w:p w14:paraId="0D3BBE9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大模型推理服务（vLLM/Triton）运维手册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67C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D44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6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7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8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0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1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2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4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5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6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9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20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1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22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5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6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7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28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9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30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3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34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37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8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9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40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1">
    <w:nsid w:val="E0294EC7"/>
    <w:multiLevelType w:val="singleLevel"/>
    <w:tmpl w:val="E0294E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43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44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45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4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7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48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9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50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5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3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5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5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56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7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8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9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60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61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62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63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64">
    <w:nsid w:val="1AD50295"/>
    <w:multiLevelType w:val="singleLevel"/>
    <w:tmpl w:val="1AD502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66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67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68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6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7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2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73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74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75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6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7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8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79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80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81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82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84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85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86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7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8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91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2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93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94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95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97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98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99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100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1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02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03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04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05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06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51"/>
  </w:num>
  <w:num w:numId="2">
    <w:abstractNumId w:val="35"/>
  </w:num>
  <w:num w:numId="3">
    <w:abstractNumId w:val="89"/>
  </w:num>
  <w:num w:numId="4">
    <w:abstractNumId w:val="31"/>
  </w:num>
  <w:num w:numId="5">
    <w:abstractNumId w:val="23"/>
  </w:num>
  <w:num w:numId="6">
    <w:abstractNumId w:val="54"/>
  </w:num>
  <w:num w:numId="7">
    <w:abstractNumId w:val="70"/>
  </w:num>
  <w:num w:numId="8">
    <w:abstractNumId w:val="100"/>
  </w:num>
  <w:num w:numId="9">
    <w:abstractNumId w:val="52"/>
  </w:num>
  <w:num w:numId="10">
    <w:abstractNumId w:val="8"/>
  </w:num>
  <w:num w:numId="11">
    <w:abstractNumId w:val="71"/>
  </w:num>
  <w:num w:numId="12">
    <w:abstractNumId w:val="91"/>
  </w:num>
  <w:num w:numId="13">
    <w:abstractNumId w:val="34"/>
  </w:num>
  <w:num w:numId="14">
    <w:abstractNumId w:val="86"/>
  </w:num>
  <w:num w:numId="15">
    <w:abstractNumId w:val="46"/>
  </w:num>
  <w:num w:numId="16">
    <w:abstractNumId w:val="69"/>
  </w:num>
  <w:num w:numId="17">
    <w:abstractNumId w:val="40"/>
  </w:num>
  <w:num w:numId="18">
    <w:abstractNumId w:val="38"/>
  </w:num>
  <w:num w:numId="19">
    <w:abstractNumId w:val="13"/>
  </w:num>
  <w:num w:numId="20">
    <w:abstractNumId w:val="83"/>
  </w:num>
  <w:num w:numId="21">
    <w:abstractNumId w:val="94"/>
  </w:num>
  <w:num w:numId="22">
    <w:abstractNumId w:val="57"/>
  </w:num>
  <w:num w:numId="23">
    <w:abstractNumId w:val="81"/>
  </w:num>
  <w:num w:numId="24">
    <w:abstractNumId w:val="20"/>
  </w:num>
  <w:num w:numId="25">
    <w:abstractNumId w:val="105"/>
  </w:num>
  <w:num w:numId="26">
    <w:abstractNumId w:val="103"/>
  </w:num>
  <w:num w:numId="27">
    <w:abstractNumId w:val="30"/>
  </w:num>
  <w:num w:numId="28">
    <w:abstractNumId w:val="96"/>
  </w:num>
  <w:num w:numId="29">
    <w:abstractNumId w:val="9"/>
  </w:num>
  <w:num w:numId="30">
    <w:abstractNumId w:val="78"/>
  </w:num>
  <w:num w:numId="31">
    <w:abstractNumId w:val="4"/>
  </w:num>
  <w:num w:numId="32">
    <w:abstractNumId w:val="88"/>
  </w:num>
  <w:num w:numId="33">
    <w:abstractNumId w:val="106"/>
  </w:num>
  <w:num w:numId="34">
    <w:abstractNumId w:val="1"/>
  </w:num>
  <w:num w:numId="35">
    <w:abstractNumId w:val="68"/>
  </w:num>
  <w:num w:numId="36">
    <w:abstractNumId w:val="87"/>
  </w:num>
  <w:num w:numId="37">
    <w:abstractNumId w:val="49"/>
  </w:num>
  <w:num w:numId="38">
    <w:abstractNumId w:val="42"/>
  </w:num>
  <w:num w:numId="39">
    <w:abstractNumId w:val="74"/>
  </w:num>
  <w:num w:numId="40">
    <w:abstractNumId w:val="104"/>
  </w:num>
  <w:num w:numId="41">
    <w:abstractNumId w:val="26"/>
  </w:num>
  <w:num w:numId="42">
    <w:abstractNumId w:val="6"/>
  </w:num>
  <w:num w:numId="43">
    <w:abstractNumId w:val="25"/>
  </w:num>
  <w:num w:numId="44">
    <w:abstractNumId w:val="92"/>
  </w:num>
  <w:num w:numId="45">
    <w:abstractNumId w:val="3"/>
  </w:num>
  <w:num w:numId="46">
    <w:abstractNumId w:val="63"/>
  </w:num>
  <w:num w:numId="47">
    <w:abstractNumId w:val="5"/>
  </w:num>
  <w:num w:numId="48">
    <w:abstractNumId w:val="93"/>
  </w:num>
  <w:num w:numId="49">
    <w:abstractNumId w:val="101"/>
  </w:num>
  <w:num w:numId="50">
    <w:abstractNumId w:val="84"/>
  </w:num>
  <w:num w:numId="51">
    <w:abstractNumId w:val="75"/>
  </w:num>
  <w:num w:numId="52">
    <w:abstractNumId w:val="97"/>
  </w:num>
  <w:num w:numId="53">
    <w:abstractNumId w:val="55"/>
  </w:num>
  <w:num w:numId="54">
    <w:abstractNumId w:val="56"/>
  </w:num>
  <w:num w:numId="55">
    <w:abstractNumId w:val="37"/>
  </w:num>
  <w:num w:numId="56">
    <w:abstractNumId w:val="76"/>
  </w:num>
  <w:num w:numId="57">
    <w:abstractNumId w:val="66"/>
  </w:num>
  <w:num w:numId="58">
    <w:abstractNumId w:val="45"/>
  </w:num>
  <w:num w:numId="59">
    <w:abstractNumId w:val="67"/>
  </w:num>
  <w:num w:numId="60">
    <w:abstractNumId w:val="22"/>
  </w:num>
  <w:num w:numId="61">
    <w:abstractNumId w:val="80"/>
  </w:num>
  <w:num w:numId="62">
    <w:abstractNumId w:val="58"/>
  </w:num>
  <w:num w:numId="63">
    <w:abstractNumId w:val="77"/>
  </w:num>
  <w:num w:numId="64">
    <w:abstractNumId w:val="53"/>
  </w:num>
  <w:num w:numId="65">
    <w:abstractNumId w:val="32"/>
  </w:num>
  <w:num w:numId="66">
    <w:abstractNumId w:val="60"/>
  </w:num>
  <w:num w:numId="67">
    <w:abstractNumId w:val="21"/>
  </w:num>
  <w:num w:numId="68">
    <w:abstractNumId w:val="79"/>
  </w:num>
  <w:num w:numId="69">
    <w:abstractNumId w:val="16"/>
  </w:num>
  <w:num w:numId="70">
    <w:abstractNumId w:val="48"/>
  </w:num>
  <w:num w:numId="71">
    <w:abstractNumId w:val="73"/>
  </w:num>
  <w:num w:numId="72">
    <w:abstractNumId w:val="50"/>
  </w:num>
  <w:num w:numId="73">
    <w:abstractNumId w:val="62"/>
  </w:num>
  <w:num w:numId="74">
    <w:abstractNumId w:val="99"/>
  </w:num>
  <w:num w:numId="75">
    <w:abstractNumId w:val="43"/>
  </w:num>
  <w:num w:numId="76">
    <w:abstractNumId w:val="33"/>
  </w:num>
  <w:num w:numId="77">
    <w:abstractNumId w:val="15"/>
  </w:num>
  <w:num w:numId="78">
    <w:abstractNumId w:val="102"/>
  </w:num>
  <w:num w:numId="79">
    <w:abstractNumId w:val="39"/>
  </w:num>
  <w:num w:numId="80">
    <w:abstractNumId w:val="24"/>
  </w:num>
  <w:num w:numId="81">
    <w:abstractNumId w:val="72"/>
  </w:num>
  <w:num w:numId="82">
    <w:abstractNumId w:val="44"/>
  </w:num>
  <w:num w:numId="83">
    <w:abstractNumId w:val="11"/>
  </w:num>
  <w:num w:numId="84">
    <w:abstractNumId w:val="90"/>
  </w:num>
  <w:num w:numId="85">
    <w:abstractNumId w:val="28"/>
  </w:num>
  <w:num w:numId="86">
    <w:abstractNumId w:val="19"/>
  </w:num>
  <w:num w:numId="87">
    <w:abstractNumId w:val="10"/>
  </w:num>
  <w:num w:numId="88">
    <w:abstractNumId w:val="14"/>
  </w:num>
  <w:num w:numId="89">
    <w:abstractNumId w:val="18"/>
  </w:num>
  <w:num w:numId="90">
    <w:abstractNumId w:val="7"/>
  </w:num>
  <w:num w:numId="91">
    <w:abstractNumId w:val="65"/>
  </w:num>
  <w:num w:numId="92">
    <w:abstractNumId w:val="29"/>
  </w:num>
  <w:num w:numId="93">
    <w:abstractNumId w:val="61"/>
  </w:num>
  <w:num w:numId="94">
    <w:abstractNumId w:val="36"/>
  </w:num>
  <w:num w:numId="95">
    <w:abstractNumId w:val="98"/>
  </w:num>
  <w:num w:numId="96">
    <w:abstractNumId w:val="0"/>
  </w:num>
  <w:num w:numId="97">
    <w:abstractNumId w:val="27"/>
  </w:num>
  <w:num w:numId="98">
    <w:abstractNumId w:val="47"/>
  </w:num>
  <w:num w:numId="99">
    <w:abstractNumId w:val="85"/>
  </w:num>
  <w:num w:numId="100">
    <w:abstractNumId w:val="59"/>
  </w:num>
  <w:num w:numId="101">
    <w:abstractNumId w:val="12"/>
  </w:num>
  <w:num w:numId="102">
    <w:abstractNumId w:val="41"/>
  </w:num>
  <w:num w:numId="103">
    <w:abstractNumId w:val="64"/>
  </w:num>
  <w:num w:numId="104">
    <w:abstractNumId w:val="82"/>
  </w:num>
  <w:num w:numId="105">
    <w:abstractNumId w:val="17"/>
  </w:num>
  <w:num w:numId="106">
    <w:abstractNumId w:val="95"/>
  </w:num>
  <w:num w:numId="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E37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12182</Words>
  <Characters>15659</Characters>
  <TotalTime>0</TotalTime>
  <ScaleCrop>false</ScaleCrop>
  <LinksUpToDate>false</LinksUpToDate>
  <CharactersWithSpaces>16751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2026-05-04T11:59:00Z</dcterms:created>
  <dc:creator>Apache POI</dc:creator>
  <cp:lastModifiedBy>百事可乐</cp:lastModifiedBy>
  <dcterms:modified xsi:type="dcterms:W3CDTF">2026-05-04T12:00:13Z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eyJoZGlkIjoiNWQ3MTEyZGI2ZWU5YTA1MjhkN2UwNmUxN2ZmNWRlZmEiLCJ1c2VySWQiOiIxMTIzMjM0ODc3In0=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FDB1B89F5D7D48E2858869B66E8579B2_12</vt:lpwstr>
  </property>
</Properties>
</file>