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80A9B">
      <w:pPr>
        <w:spacing w:before="480" w:after="480" w:line="288" w:lineRule="auto"/>
        <w:ind w:left="0"/>
      </w:pPr>
      <w:r>
        <w:rPr>
          <w:rFonts w:ascii="Arial" w:hAnsi="Arial" w:eastAsia="等线" w:cs="Arial"/>
          <w:b/>
          <w:sz w:val="52"/>
        </w:rPr>
        <w:t>P0 级故障应急响应与灾难恢复流程</w:t>
      </w:r>
    </w:p>
    <w:p w14:paraId="009BEED2">
      <w:pPr>
        <w:spacing w:before="120" w:after="120" w:line="288" w:lineRule="auto"/>
        <w:ind w:left="0"/>
        <w:jc w:val="left"/>
      </w:pPr>
      <w:r>
        <w:rPr>
          <w:rFonts w:ascii="Arial" w:hAnsi="Arial" w:eastAsia="等线" w:cs="Arial"/>
          <w:b/>
          <w:sz w:val="22"/>
        </w:rPr>
        <w:t>版本</w:t>
      </w:r>
      <w:r>
        <w:rPr>
          <w:rFonts w:ascii="Arial" w:hAnsi="Arial" w:eastAsia="等线" w:cs="Arial"/>
          <w:sz w:val="22"/>
        </w:rPr>
        <w:t>：v1.0</w:t>
      </w:r>
      <w:r>
        <w:rPr>
          <w:rFonts w:ascii="Arial" w:hAnsi="Arial" w:eastAsia="等线" w:cs="Arial"/>
          <w:sz w:val="22"/>
        </w:rPr>
        <w:br w:type="textWrapping"/>
      </w:r>
      <w:r>
        <w:rPr>
          <w:rFonts w:ascii="Arial" w:hAnsi="Arial" w:eastAsia="等线" w:cs="Arial"/>
          <w:b/>
          <w:sz w:val="22"/>
        </w:rPr>
        <w:t>更新日期</w:t>
      </w:r>
      <w:r>
        <w:rPr>
          <w:rFonts w:ascii="Arial" w:hAnsi="Arial" w:eastAsia="等线" w:cs="Arial"/>
          <w:sz w:val="22"/>
        </w:rPr>
        <w:t>：2026 年 5 月 4 日</w:t>
      </w:r>
      <w:r>
        <w:rPr>
          <w:rFonts w:ascii="Arial" w:hAnsi="Arial" w:eastAsia="等线" w:cs="Arial"/>
          <w:sz w:val="22"/>
        </w:rPr>
        <w:br w:type="textWrapping"/>
      </w:r>
      <w:r>
        <w:rPr>
          <w:rFonts w:ascii="Arial" w:hAnsi="Arial" w:eastAsia="等线" w:cs="Arial"/>
          <w:b/>
          <w:sz w:val="22"/>
        </w:rPr>
        <w:t>适用范围</w:t>
      </w:r>
      <w:r>
        <w:rPr>
          <w:rFonts w:ascii="Arial" w:hAnsi="Arial" w:eastAsia="等线" w:cs="Arial"/>
          <w:sz w:val="22"/>
        </w:rPr>
        <w:t>：企业级 AI 训练与推理集群，覆盖 NVIDIA A100/H100/A800 GPU 基础设施、Kubernetes 1.25-1.30 容器平台、NCCL 分布式训练环境、vLLM/Triton 推理服务、MLOps 工具链全栈，支持等保 2.0 三级及以上合规要求</w:t>
      </w:r>
      <w:r>
        <w:rPr>
          <w:rFonts w:ascii="Arial" w:hAnsi="Arial" w:eastAsia="等线" w:cs="Arial"/>
          <w:sz w:val="22"/>
        </w:rPr>
        <w:br w:type="textWrapping"/>
      </w:r>
      <w:r>
        <w:rPr>
          <w:rFonts w:ascii="Arial" w:hAnsi="Arial" w:eastAsia="等线" w:cs="Arial"/>
          <w:b/>
          <w:sz w:val="22"/>
        </w:rPr>
        <w:t>文档目的</w:t>
      </w:r>
      <w:r>
        <w:rPr>
          <w:rFonts w:ascii="Arial" w:hAnsi="Arial" w:eastAsia="等线" w:cs="Arial"/>
          <w:sz w:val="22"/>
        </w:rPr>
        <w:t>：建立标准化的 P0 级故障应急响应与灾难恢复体系，明确故障定义、组织职责、响应流程和恢复步骤，将 P0 级故障的平均恢复时间（MTTR）控制在 2 小时以内，最大程度降低业务损失和数据风险</w:t>
      </w:r>
    </w:p>
    <w:p w14:paraId="6A983359">
      <w:pPr>
        <w:spacing w:before="320" w:after="120" w:line="288" w:lineRule="auto"/>
        <w:ind w:left="0"/>
        <w:jc w:val="left"/>
        <w:outlineLvl w:val="1"/>
      </w:pPr>
      <w:bookmarkStart w:id="0" w:name="heading_0"/>
      <w:r>
        <w:rPr>
          <w:rFonts w:ascii="Arial" w:hAnsi="Arial" w:eastAsia="等线" w:cs="Arial"/>
          <w:b/>
          <w:sz w:val="32"/>
        </w:rPr>
        <w:t>一、P0 级故障定义与分级标准</w:t>
      </w:r>
      <w:bookmarkEnd w:id="0"/>
    </w:p>
    <w:p w14:paraId="758A38DE">
      <w:pPr>
        <w:spacing w:before="120" w:after="120" w:line="288" w:lineRule="auto"/>
        <w:ind w:left="0"/>
        <w:jc w:val="left"/>
      </w:pPr>
      <w:r>
        <w:rPr>
          <w:rFonts w:ascii="Arial" w:hAnsi="Arial" w:eastAsia="等线" w:cs="Arial"/>
          <w:sz w:val="22"/>
        </w:rPr>
        <w:t>P0 级故障是指对企业核心业务造成全局性、灾难性影响的安全事件或系统故障，其特征是影响范围覆盖整个业务线或全集群，导致核心服务完全不可用，可能造成重大经济损失、数据泄露或品牌声誉损害。与 P1、P2、P3 级故障相比，P0 级故障具有最高优先级，所有相关人员必须立即停止手头工作，全力投入故障处置。典型的 P0 级故障场景包括 AI 集群所有 GPU 节点同时不可用、Kubernetes 控制平面完全崩溃且无法自动恢复、etcd 集群数据丢失且无可用备份、面向 C 端的核心大模型推理服务全线下线超过 10 分钟、超过 1TB 的训练数据或核心模型文件被恶意删除或加密、大规模用户数据泄露涉及 10 万以上用户信息、训练集群发生火灾或断电等物理灾难导致硬件大面积损坏。</w:t>
      </w:r>
    </w:p>
    <w:p w14:paraId="4E375156">
      <w:pPr>
        <w:spacing w:before="120" w:after="120" w:line="288" w:lineRule="auto"/>
        <w:ind w:left="0"/>
        <w:jc w:val="left"/>
      </w:pPr>
      <w:r>
        <w:rPr>
          <w:rFonts w:ascii="Arial" w:hAnsi="Arial" w:eastAsia="等线" w:cs="Arial"/>
          <w:sz w:val="22"/>
        </w:rPr>
        <w:t>故障分级基于影响范围、业务中断时长和潜在损失三个维度进行评估，P0 级故障的判定标准为影响范围覆盖全部核心业务、预计业务中断时长超过 1 小时、潜在经济损失超过 100 万元或存在重大合规风险。当同时满足多个分级标准时，遵循就高不就低的原则，将故障升级为更高等级。在故障初期无法准确判定等级时，先按 P0 级故障启动响应，待明确影响范围后再调整等级。所有 P0 级故障必须在发生后 15 分钟内上报至企业最高管理层和安全负责人，不得隐瞒或延迟上报。</w:t>
      </w:r>
    </w:p>
    <w:p w14:paraId="6F268B01">
      <w:pPr>
        <w:spacing w:before="320" w:after="120" w:line="288" w:lineRule="auto"/>
        <w:ind w:left="0"/>
        <w:jc w:val="left"/>
        <w:outlineLvl w:val="1"/>
      </w:pPr>
      <w:bookmarkStart w:id="1" w:name="heading_1"/>
      <w:r>
        <w:rPr>
          <w:rFonts w:ascii="Arial" w:hAnsi="Arial" w:eastAsia="等线" w:cs="Arial"/>
          <w:b/>
          <w:sz w:val="32"/>
        </w:rPr>
        <w:t>二、应急响应组织架构与职责</w:t>
      </w:r>
      <w:bookmarkEnd w:id="1"/>
    </w:p>
    <w:p w14:paraId="3A7A942C">
      <w:pPr>
        <w:spacing w:before="120" w:after="120" w:line="288" w:lineRule="auto"/>
        <w:ind w:left="0"/>
        <w:jc w:val="left"/>
      </w:pPr>
      <w:r>
        <w:rPr>
          <w:rFonts w:ascii="Arial" w:hAnsi="Arial" w:eastAsia="等线" w:cs="Arial"/>
          <w:sz w:val="22"/>
        </w:rPr>
        <w:t>建立统一的应急响应指挥体系，明确各角色的职责和权限，确保故障响应过程高效有序。应急响应组织由应急总指挥、技术总负责人、专项技术小组和业务协调小组组成，所有成员必须保持 7×24 小时通讯畅通，确保能够随时响应故障。应急总指挥由企业 CTO 或技术负责人担任，负责统筹整个应急响应过程，做出重大决策，协调内外部资源，向管理层汇报故障进展和处置情况。技术总负责人由资深 AI 运维架构师担任，负责技术层面的指挥和协调，组织故障排查和定位，制定应急处置方案，监督恢复过程的实施。</w:t>
      </w:r>
    </w:p>
    <w:p w14:paraId="34E6F8D8">
      <w:pPr>
        <w:spacing w:before="120" w:after="120" w:line="288" w:lineRule="auto"/>
        <w:ind w:left="0"/>
        <w:jc w:val="left"/>
      </w:pPr>
      <w:r>
        <w:rPr>
          <w:rFonts w:ascii="Arial" w:hAnsi="Arial" w:eastAsia="等线" w:cs="Arial"/>
          <w:sz w:val="22"/>
        </w:rPr>
        <w:t>专项技术小组根据技术领域划分为基础设施组、Kubernetes 平台组、分布式训练组、推理服务组、数据安全组和网络组，每个小组由 3-5 名资深工程师组成。基础设施组负责 GPU 服务器、存储设备、网络设备和电源系统的故障排查和恢复；Kubernetes 平台组负责集群控制平面、节点和容器运行时的故障处置；分布式训练组负责大模型训练任务的中断恢复和数据一致性验证；推理服务组负责核心推理服务的快速恢复和流量切换；数据安全组负责数据泄露事件的处置和数据恢复；网络组负责网络故障的排查和网络安全防护。业务协调小组由产品经理和运营人员组成，负责与业务部门沟通，评估业务影响，通知用户故障情况，收集业务需求，协调业务恢复的优先级。</w:t>
      </w:r>
    </w:p>
    <w:p w14:paraId="74A53FA4">
      <w:pPr>
        <w:spacing w:before="120" w:after="120" w:line="288" w:lineRule="auto"/>
        <w:ind w:left="0"/>
        <w:jc w:val="left"/>
      </w:pPr>
      <w:r>
        <w:rPr>
          <w:rFonts w:ascii="Arial" w:hAnsi="Arial" w:eastAsia="等线" w:cs="Arial"/>
          <w:sz w:val="22"/>
        </w:rPr>
        <w:t>建立应急联系人制度，制作详细的应急联系人列表，包括所有应急响应人员的姓名、职位、手机号码、备用联系方式和职责，列表需要定期更新并分发至所有相关人员。同时建立外部技术支持渠道，与 NVIDIA、云服务提供商、硬件供应商等建立紧急技术支持机制，确保在遇到复杂技术问题时能够及时获得外部援助。</w:t>
      </w:r>
    </w:p>
    <w:p w14:paraId="51E12A93">
      <w:pPr>
        <w:spacing w:before="320" w:after="120" w:line="288" w:lineRule="auto"/>
        <w:ind w:left="0"/>
        <w:jc w:val="left"/>
        <w:outlineLvl w:val="1"/>
      </w:pPr>
      <w:bookmarkStart w:id="2" w:name="heading_2"/>
      <w:r>
        <w:rPr>
          <w:rFonts w:ascii="Arial" w:hAnsi="Arial" w:eastAsia="等线" w:cs="Arial"/>
          <w:b/>
          <w:sz w:val="32"/>
        </w:rPr>
        <w:t>三、标准化应急响应全流程</w:t>
      </w:r>
      <w:bookmarkEnd w:id="2"/>
    </w:p>
    <w:p w14:paraId="47C067CB">
      <w:pPr>
        <w:spacing w:before="120" w:after="120" w:line="288" w:lineRule="auto"/>
        <w:ind w:left="0"/>
        <w:jc w:val="left"/>
      </w:pPr>
      <w:r>
        <w:rPr>
          <w:rFonts w:ascii="Arial" w:hAnsi="Arial" w:eastAsia="等线" w:cs="Arial"/>
          <w:sz w:val="22"/>
        </w:rPr>
        <w:t>P0 级故障应急响应流程分为事件发现与上报、故障定级与响应启动、故障排查与定位、应急处置与业务恢复、故障解除与后续跟进、事后复盘与持续改进六个阶段，每个阶段都有明确的时间要求和操作规范，确保响应过程标准化、可追溯。</w:t>
      </w:r>
    </w:p>
    <w:p w14:paraId="3F714497">
      <w:pPr>
        <w:spacing w:before="120" w:after="120" w:line="288" w:lineRule="auto"/>
        <w:ind w:left="0"/>
        <w:jc w:val="left"/>
      </w:pPr>
      <w:r>
        <w:rPr>
          <w:rFonts w:ascii="Arial" w:hAnsi="Arial" w:eastAsia="等线" w:cs="Arial"/>
          <w:sz w:val="22"/>
        </w:rPr>
        <w:t>事件发现与上报阶段是应急响应的起点，故障可以通过监控系统告警、用户反馈、内部人员发现或第三方通知等多种渠道发现。监控系统是最主要的故障发现渠道，所有核心系统和业务指标都必须配置 P0 级告警，告警信息需要通过短信、电话和企业微信等多种方式同时发送给相关应急响应人员。任何人员发现 P0 级故障后，都必须在 5 分钟内上报至技术总负责人，上报内容包括故障现象、影响范围、发现时间和上报人信息，不得遗漏关键信息。技术总负责人在收到上报后，需要立即核实故障情况，在 10 分钟内完成故障定级，确认是 P0 级故障后，立即启动应急响应流程，通知所有应急响应人员到位。</w:t>
      </w:r>
    </w:p>
    <w:p w14:paraId="7523A155">
      <w:pPr>
        <w:spacing w:before="120" w:after="120" w:line="288" w:lineRule="auto"/>
        <w:ind w:left="0"/>
        <w:jc w:val="left"/>
      </w:pPr>
      <w:r>
        <w:rPr>
          <w:rFonts w:ascii="Arial" w:hAnsi="Arial" w:eastAsia="等线" w:cs="Arial"/>
          <w:sz w:val="22"/>
        </w:rPr>
        <w:t>故障排查与定位阶段的目标是在 30 分钟内找到故障的根本原因，为后续处置提供依据。技术总负责人根据故障现象，组织相关专项小组进行并行排查，按照从整体到局部、从底层到上层的顺序逐步缩小排查范围。首先检查基础设施层的状态，包括电源、网络、服务器和存储设备是否正常运行；然后检查平台层的状态，包括 Kubernetes 集群、GPU Operator 和 MLOps 工具链是否正常；最后检查应用层的状态，包括训练任务和推理服务的运行情况。排查过程中需要详细记录所有操作和发现的信息，使用统一的故障排查文档进行记录，便于团队共享信息和后续复盘。当多个小组同时排查时，需要定期同步进展，避免重复工作和信息孤岛。</w:t>
      </w:r>
    </w:p>
    <w:p w14:paraId="4A184897">
      <w:pPr>
        <w:spacing w:before="120" w:after="120" w:line="288" w:lineRule="auto"/>
        <w:ind w:left="0"/>
        <w:jc w:val="left"/>
      </w:pPr>
      <w:r>
        <w:rPr>
          <w:rFonts w:ascii="Arial" w:hAnsi="Arial" w:eastAsia="等线" w:cs="Arial"/>
          <w:sz w:val="22"/>
        </w:rPr>
        <w:t>应急处置与业务恢复阶段是整个流程的核心，目标是在 2 小时内恢复核心业务的运行。在找到故障根本原因后，技术总负责人组织制定应急处置方案，评估方案的可行性和风险，优先选择能够快速恢复业务的临时方案，再考虑彻底解决问题的最终方案。处置方案需要经过应急总指挥批准后才能实施，实施过程中需要安排专人负责监控，及时发现和处理处置过程中出现的新问题。业务恢复遵循先核心后次要、先整体后局部的原则，优先恢复影响最大的核心业务，再恢复次要业务。在恢复过程中，需要逐步切换流量，密切监控业务指标，确保恢复过程平稳，避免引发新的故障。当核心业务恢复正常运行后，需要持续监控 30 分钟，确认没有异常情况，才能进入下一阶段。</w:t>
      </w:r>
    </w:p>
    <w:p w14:paraId="4CA585BB">
      <w:pPr>
        <w:spacing w:before="120" w:after="120" w:line="288" w:lineRule="auto"/>
        <w:ind w:left="0"/>
        <w:jc w:val="left"/>
      </w:pPr>
      <w:r>
        <w:rPr>
          <w:rFonts w:ascii="Arial" w:hAnsi="Arial" w:eastAsia="等线" w:cs="Arial"/>
          <w:sz w:val="22"/>
        </w:rPr>
        <w:t>故障解除与后续跟进阶段，当所有核心业务都恢复正常运行，且稳定运行超过 1 小时后，由应急总指挥宣布故障解除。故障解除后，各专项小组需要继续跟进后续工作，包括清理临时处置措施、修复系统漏洞、备份数据、检查系统完整性等。对于受影响的训练任务，需要评估任务的状态，能够恢复的任务从最近的检查点恢复，无法恢复的任务重新启动。对于数据泄露事件，需要按照法律法规的要求，及时通知受影响的用户和监管部门，采取必要的补救措施。</w:t>
      </w:r>
    </w:p>
    <w:p w14:paraId="4D6EA266">
      <w:pPr>
        <w:spacing w:before="120" w:after="120" w:line="288" w:lineRule="auto"/>
        <w:ind w:left="0"/>
        <w:jc w:val="left"/>
      </w:pPr>
      <w:r>
        <w:rPr>
          <w:rFonts w:ascii="Arial" w:hAnsi="Arial" w:eastAsia="等线" w:cs="Arial"/>
          <w:sz w:val="22"/>
        </w:rPr>
        <w:t>事后复盘与持续改进阶段，在故障解除后 7 个工作日内，由技术总负责人组织召开故障复盘会议，所有参与应急响应的人员都必须参加。复盘会议需要详细回顾故障的发生过程、响应过程和处置过程，分析故障的根本原因，评估应急响应过程中的优点和不足，总结经验教训。根据复盘结果，制定整改措施，明确整改责任人、整改内容和完成时间，跟踪整改进度，确保所有问题都得到解决。同时，需要更新应急响应流程和应急预案，优化监控告警规则，加强系统的薄弱环节，防止类似故障再次发生。</w:t>
      </w:r>
    </w:p>
    <w:p w14:paraId="643F777A">
      <w:pPr>
        <w:spacing w:before="320" w:after="120" w:line="288" w:lineRule="auto"/>
        <w:ind w:left="0"/>
        <w:jc w:val="left"/>
        <w:outlineLvl w:val="1"/>
      </w:pPr>
      <w:bookmarkStart w:id="3" w:name="heading_3"/>
      <w:r>
        <w:rPr>
          <w:rFonts w:ascii="Arial" w:hAnsi="Arial" w:eastAsia="等线" w:cs="Arial"/>
          <w:b/>
          <w:sz w:val="32"/>
        </w:rPr>
        <w:t>四、典型 P0 级故障应急处置方案</w:t>
      </w:r>
      <w:bookmarkEnd w:id="3"/>
    </w:p>
    <w:p w14:paraId="0A9215C6">
      <w:pPr>
        <w:spacing w:before="300" w:after="120" w:line="288" w:lineRule="auto"/>
        <w:ind w:left="0"/>
        <w:jc w:val="left"/>
        <w:outlineLvl w:val="2"/>
      </w:pPr>
      <w:bookmarkStart w:id="4" w:name="heading_4"/>
      <w:r>
        <w:rPr>
          <w:rFonts w:ascii="Arial" w:hAnsi="Arial" w:eastAsia="等线" w:cs="Arial"/>
          <w:b/>
          <w:sz w:val="30"/>
        </w:rPr>
        <w:t>4.1 GPU 集群全节点不可用故障</w:t>
      </w:r>
      <w:bookmarkEnd w:id="4"/>
    </w:p>
    <w:p w14:paraId="704E9123">
      <w:pPr>
        <w:spacing w:before="120" w:after="120" w:line="288" w:lineRule="auto"/>
        <w:ind w:left="0"/>
        <w:jc w:val="left"/>
      </w:pPr>
      <w:r>
        <w:rPr>
          <w:rFonts w:ascii="Arial" w:hAnsi="Arial" w:eastAsia="等线" w:cs="Arial"/>
          <w:sz w:val="22"/>
        </w:rPr>
        <w:t>GPU 集群全节点不可用表现为所有 GPU 节点同时处于 NotReady 状态，nvidia-smi 命令无输出，所有训练任务和推理服务都无法运行，核心原因包括集群电源故障、网络核心交换机故障、GPU Operator 全集群崩溃、大规模驱动故障或操作系统内核崩溃。应急处置首先检查机房电源和空调系统，确认是否存在断电或空调故障导致的服务器宕机，如果是电源故障，立即启动备用电源系统，逐步恢复服务器供电。如果电源正常，检查核心网络交换机的状态，查看是否存在交换机宕机或端口故障，更换故障交换机或端口，恢复网络连接。</w:t>
      </w:r>
    </w:p>
    <w:p w14:paraId="21B2C62B">
      <w:pPr>
        <w:spacing w:before="120" w:after="120" w:line="288" w:lineRule="auto"/>
        <w:ind w:left="0"/>
        <w:jc w:val="left"/>
      </w:pPr>
      <w:r>
        <w:rPr>
          <w:rFonts w:ascii="Arial" w:hAnsi="Arial" w:eastAsia="等线" w:cs="Arial"/>
          <w:sz w:val="22"/>
        </w:rPr>
        <w:t>如果基础设施正常，检查 GPU Operator 的运行状态，执行 kubectl get pods -n gpu-operator 命令查看所有相关 Pod 的状态，如果所有 Pod 都处于异常状态，先尝试重启 GPU Operator 的控制器 Pod，如果无效，执行 kubectl delete clusterpolicy gpu-cluster-policy -n gpu-operator 命令删除现有 ClusterPolicy，然后重新应用正确的 ClusterPolicy 配置，等待 GPU Operator 重新部署所有组件。如果是驱动或内核故障导致的节点不可用，先将故障节点从集群中隔离，然后滚动重启所有节点，在重启过程中逐步验证每个节点的 GPU 状态，确保节点恢复正常后再加入集群。对于正在运行的训练任务，在集群恢复后，从最近的检查点恢复任务，对于无法恢复的任务，重新提交任务。</w:t>
      </w:r>
    </w:p>
    <w:p w14:paraId="2D34861D">
      <w:pPr>
        <w:spacing w:before="300" w:after="120" w:line="288" w:lineRule="auto"/>
        <w:ind w:left="0"/>
        <w:jc w:val="left"/>
        <w:outlineLvl w:val="2"/>
      </w:pPr>
      <w:bookmarkStart w:id="5" w:name="heading_5"/>
      <w:r>
        <w:rPr>
          <w:rFonts w:ascii="Arial" w:hAnsi="Arial" w:eastAsia="等线" w:cs="Arial"/>
          <w:b/>
          <w:sz w:val="30"/>
        </w:rPr>
        <w:t>4.2 Kubernetes 控制平面崩溃故障</w:t>
      </w:r>
      <w:bookmarkEnd w:id="5"/>
    </w:p>
    <w:p w14:paraId="61A0A251">
      <w:pPr>
        <w:spacing w:before="120" w:after="120" w:line="288" w:lineRule="auto"/>
        <w:ind w:left="0"/>
        <w:jc w:val="left"/>
      </w:pPr>
      <w:r>
        <w:rPr>
          <w:rFonts w:ascii="Arial" w:hAnsi="Arial" w:eastAsia="等线" w:cs="Arial"/>
          <w:sz w:val="22"/>
        </w:rPr>
        <w:t>Kubernetes 控制平面崩溃表现为 kubectl 命令无法执行，所有 API 请求超时，无法创建、修改或删除任何 Kubernetes 资源，核心原因包括 etcd 集群数据损坏、kube-apiserver 进程崩溃、控制平面节点宕机或证书过期。应急处置首先检查控制平面节点的状态，确认节点是否正常运行，如果节点宕机，立即重启节点，查看控制平面组件是否能够自动恢复。如果节点正常，检查 etcd 集群的健康状态，执行 etcdctl endpoint health 命令查看 etcd 节点的健康状态，如果 etcd 集群出现脑裂或数据损坏，立即停止所有控制平面组件，从最近的 etcd 备份恢复数据，然后重新启动控制平面组件。</w:t>
      </w:r>
    </w:p>
    <w:p w14:paraId="38E670AE">
      <w:pPr>
        <w:spacing w:before="120" w:after="120" w:line="288" w:lineRule="auto"/>
        <w:ind w:left="0"/>
        <w:jc w:val="left"/>
      </w:pPr>
      <w:r>
        <w:rPr>
          <w:rFonts w:ascii="Arial" w:hAnsi="Arial" w:eastAsia="等线" w:cs="Arial"/>
          <w:sz w:val="22"/>
        </w:rPr>
        <w:t>如果是证书过期导致的控制平面故障，执行 kubeadm certs check-expiration 命令查看证书有效期，确认哪些证书已经过期，然后执行 kubeadm certs renew all 命令更新所有证书，重启控制平面组件和 kubelet 服务。在恢复控制平面后，需要检查所有节点的状态，确保所有节点都重新加入集群，然后检查所有 Pod 和服务的状态，逐步恢复异常的 Pod 和服务。对于已经提交的训练任务和推理服务，检查其运行状态，自动重启异常的 Pod，确保业务恢复正常。</w:t>
      </w:r>
    </w:p>
    <w:p w14:paraId="3B6F1FEA">
      <w:pPr>
        <w:spacing w:before="300" w:after="120" w:line="288" w:lineRule="auto"/>
        <w:ind w:left="0"/>
        <w:jc w:val="left"/>
        <w:outlineLvl w:val="2"/>
      </w:pPr>
      <w:bookmarkStart w:id="6" w:name="heading_6"/>
      <w:r>
        <w:rPr>
          <w:rFonts w:ascii="Arial" w:hAnsi="Arial" w:eastAsia="等线" w:cs="Arial"/>
          <w:b/>
          <w:sz w:val="30"/>
        </w:rPr>
        <w:t>4.3 etcd 数据丢失故障</w:t>
      </w:r>
      <w:bookmarkEnd w:id="6"/>
    </w:p>
    <w:p w14:paraId="24252D29">
      <w:pPr>
        <w:spacing w:before="120" w:after="120" w:line="288" w:lineRule="auto"/>
        <w:ind w:left="0"/>
        <w:jc w:val="left"/>
      </w:pPr>
      <w:r>
        <w:rPr>
          <w:rFonts w:ascii="Arial" w:hAnsi="Arial" w:eastAsia="等线" w:cs="Arial"/>
          <w:sz w:val="22"/>
        </w:rPr>
        <w:t>etcd 数据丢失是最严重的 Kubernetes 集群故障之一，会导致整个集群的配置和状态信息丢失，所有 Pod 和服务都无法正常运行，核心原因包括 etcd 存储介质损坏、误操作删除 etcd 数据、恶意攻击或病毒感染。应急处置首先立即隔离 etcd 集群，防止数据被进一步覆盖或损坏，然后检查是否有可用的 etcd 备份，etcd 备份应该至少每天进行一次，并且存储在独立的离线存储设备中。如果有可用的备份，按照 etcd 官方的恢复流程，使用备份数据重建 etcd 集群，然后重新启动所有控制平面组件。</w:t>
      </w:r>
    </w:p>
    <w:p w14:paraId="6DC25EE6">
      <w:pPr>
        <w:spacing w:before="120" w:after="120" w:line="288" w:lineRule="auto"/>
        <w:ind w:left="0"/>
        <w:jc w:val="left"/>
      </w:pPr>
      <w:r>
        <w:rPr>
          <w:rFonts w:ascii="Arial" w:hAnsi="Arial" w:eastAsia="等线" w:cs="Arial"/>
          <w:sz w:val="22"/>
        </w:rPr>
        <w:t>如果没有可用的备份，需要重建整个 Kubernetes 集群，首先收集所有应用的部署配置文件，包括 Deployment、StatefulSet、Service、ConfigMap 和 Secret 等，如果没有保存配置文件，可以尝试从运行中的节点上提取配置信息。然后重新部署 Kubernetes 集群，安装 GPU Operator 和其他必要的组件，最后重新部署所有应用和服务。这种情况下，恢复时间会显著延长，因此必须建立严格的 etcd 备份制度，定期测试备份数据的可恢复性，确保在发生数据丢失时能够快速恢复。</w:t>
      </w:r>
    </w:p>
    <w:p w14:paraId="5A93982F">
      <w:pPr>
        <w:spacing w:before="300" w:after="120" w:line="288" w:lineRule="auto"/>
        <w:ind w:left="0"/>
        <w:jc w:val="left"/>
        <w:outlineLvl w:val="2"/>
      </w:pPr>
      <w:bookmarkStart w:id="7" w:name="heading_7"/>
      <w:r>
        <w:rPr>
          <w:rFonts w:ascii="Arial" w:hAnsi="Arial" w:eastAsia="等线" w:cs="Arial"/>
          <w:b/>
          <w:sz w:val="30"/>
        </w:rPr>
        <w:t>4.4 核心推理服务全线下线故障</w:t>
      </w:r>
      <w:bookmarkEnd w:id="7"/>
    </w:p>
    <w:p w14:paraId="49FCCFEE">
      <w:pPr>
        <w:spacing w:before="120" w:after="120" w:line="288" w:lineRule="auto"/>
        <w:ind w:left="0"/>
        <w:jc w:val="left"/>
      </w:pPr>
      <w:r>
        <w:rPr>
          <w:rFonts w:ascii="Arial" w:hAnsi="Arial" w:eastAsia="等线" w:cs="Arial"/>
          <w:sz w:val="22"/>
        </w:rPr>
        <w:t>核心推理服务全线下线表现为所有推理请求都返回错误，用户无法使用 AI 服务，核心原因包括推理服务进程崩溃、负载均衡器故障、数据库故障、依赖的模型文件损坏或大规模 DDoS 攻击。应急处置首先检查负载均衡器的状态，确认负载均衡器是否正常运行，后端服务是否健康，如果负载均衡器故障，切换到备用负载均衡器，将流量切换到备用集群。如果负载均衡器正常，检查推理服务 Pod 的状态，查看是否存在 CrashLoopBackOff 或 Error 状态的 Pod，如果是服务进程崩溃，查看 Pod 日志定位崩溃原因，尝试重启 Pod，如果重启无效，回滚到上一个稳定版本的服务镜像。</w:t>
      </w:r>
    </w:p>
    <w:p w14:paraId="3ADB0BB7">
      <w:pPr>
        <w:spacing w:before="120" w:after="120" w:line="288" w:lineRule="auto"/>
        <w:ind w:left="0"/>
        <w:jc w:val="left"/>
      </w:pPr>
      <w:r>
        <w:rPr>
          <w:rFonts w:ascii="Arial" w:hAnsi="Arial" w:eastAsia="等线" w:cs="Arial"/>
          <w:sz w:val="22"/>
        </w:rPr>
        <w:t>如果是模型文件损坏导致的服务无法启动，从模型仓库中拉取上一个稳定版本的模型文件，重新部署服务。如果是 DDoS 攻击导致的服务不可用，立即启用 DDoS 防护系统，清洗恶意流量，限制请求频率，必要时暂时关闭非核心接口，保障核心接口的可用性。在恢复服务的过程中，逐步增加流量，密切监控服务的性能指标，确保服务能够稳定运行。同时，通过官方渠道通知用户故障情况和预计恢复时间，降低用户的不满。</w:t>
      </w:r>
    </w:p>
    <w:p w14:paraId="22B2A187">
      <w:pPr>
        <w:spacing w:before="300" w:after="120" w:line="288" w:lineRule="auto"/>
        <w:ind w:left="0"/>
        <w:jc w:val="left"/>
        <w:outlineLvl w:val="2"/>
      </w:pPr>
      <w:bookmarkStart w:id="8" w:name="heading_8"/>
      <w:r>
        <w:rPr>
          <w:rFonts w:ascii="Arial" w:hAnsi="Arial" w:eastAsia="等线" w:cs="Arial"/>
          <w:b/>
          <w:sz w:val="30"/>
        </w:rPr>
        <w:t>4.5 大规模数据泄露故障</w:t>
      </w:r>
      <w:bookmarkEnd w:id="8"/>
    </w:p>
    <w:p w14:paraId="7717DD6E">
      <w:pPr>
        <w:spacing w:before="120" w:after="120" w:line="288" w:lineRule="auto"/>
        <w:ind w:left="0"/>
        <w:jc w:val="left"/>
      </w:pPr>
      <w:r>
        <w:rPr>
          <w:rFonts w:ascii="Arial" w:hAnsi="Arial" w:eastAsia="等线" w:cs="Arial"/>
          <w:sz w:val="22"/>
        </w:rPr>
        <w:t>大规模数据泄露表现为敏感数据被未授权访问、下载或传播，可能涉及用户个人信息、训练数据、模型参数或企业商业机密，核心原因包括系统漏洞被利用、内部人员泄露、API 密钥泄露或第三方供应商安全漏洞。应急处置首先立即采取措施阻断数据泄露渠道，隔离受影响的系统，撤销泄露的 API 密钥和访问权限，关闭不必要的网络端口，防止数据进一步泄露。然后成立数据泄露应急小组，评估泄露的数据范围和敏感程度，确定受影响的用户数量和业务影响。</w:t>
      </w:r>
    </w:p>
    <w:p w14:paraId="03CB6145">
      <w:pPr>
        <w:spacing w:before="120" w:after="120" w:line="288" w:lineRule="auto"/>
        <w:ind w:left="0"/>
        <w:jc w:val="left"/>
      </w:pPr>
      <w:r>
        <w:rPr>
          <w:rFonts w:ascii="Arial" w:hAnsi="Arial" w:eastAsia="等线" w:cs="Arial"/>
          <w:sz w:val="22"/>
        </w:rPr>
        <w:t>根据数据泄露的严重程度，按照法律法规的要求，及时向监管部门报告，并通知受影响的用户，告知用户泄露的信息类型和可能的风险，提供必要的帮助和建议。同时，开展全面的安全调查，确定数据泄露的根本原因和攻击路径，修复系统漏洞，加强安全防护措施。对于泄露的敏感数据，采取必要的补救措施，如重置用户密码、冻结相关账户等，降低用户的损失。最后，对事件进行全面的复盘，完善数据安全管理制度，加强员工安全培训，防止类似事件再次发生。</w:t>
      </w:r>
    </w:p>
    <w:p w14:paraId="2CCF014B">
      <w:pPr>
        <w:spacing w:before="300" w:after="120" w:line="288" w:lineRule="auto"/>
        <w:ind w:left="0"/>
        <w:jc w:val="left"/>
        <w:outlineLvl w:val="2"/>
      </w:pPr>
      <w:bookmarkStart w:id="9" w:name="heading_9"/>
      <w:r>
        <w:rPr>
          <w:rFonts w:ascii="Arial" w:hAnsi="Arial" w:eastAsia="等线" w:cs="Arial"/>
          <w:b/>
          <w:sz w:val="30"/>
        </w:rPr>
        <w:t>4.6 训练数据与模型文件丢失故障</w:t>
      </w:r>
      <w:bookmarkEnd w:id="9"/>
    </w:p>
    <w:p w14:paraId="1C93A6EF">
      <w:pPr>
        <w:spacing w:before="120" w:after="120" w:line="288" w:lineRule="auto"/>
        <w:ind w:left="0"/>
        <w:jc w:val="left"/>
      </w:pPr>
      <w:r>
        <w:rPr>
          <w:rFonts w:ascii="Arial" w:hAnsi="Arial" w:eastAsia="等线" w:cs="Arial"/>
          <w:sz w:val="22"/>
        </w:rPr>
        <w:t>训练数据和模型文件丢失会导致正在进行的训练任务中断，已经训练好的模型无法使用，造成大量的时间和资源浪费，核心原因包括存储系统故障、误操作删除、恶意加密或硬件损坏。应急处置首先检查存储系统的状态，确认是否存在磁盘损坏、RAID 故障或存储节点宕机，如果是硬件故障，更换故障硬件，尝试恢复存储系统的数据。如果是误操作删除或恶意加密，检查是否有可用的数据备份，从备份中恢复丢失的数据和模型文件。</w:t>
      </w:r>
    </w:p>
    <w:p w14:paraId="0941D99D">
      <w:pPr>
        <w:spacing w:before="120" w:after="120" w:line="288" w:lineRule="auto"/>
        <w:ind w:left="0"/>
        <w:jc w:val="left"/>
      </w:pPr>
      <w:r>
        <w:rPr>
          <w:rFonts w:ascii="Arial" w:hAnsi="Arial" w:eastAsia="等线" w:cs="Arial"/>
          <w:sz w:val="22"/>
        </w:rPr>
        <w:t>如果没有可用的备份，对于训练数据，可以尝试从原始数据源重新采集和预处理数据；对于模型文件，如果有最近的检查点文件，可以从检查点恢复训练，否则需要重新开始训练。这种情况下，损失通常非常严重，因此必须建立完善的数据备份制度，对训练数据和模型文件进行定期备份，采用 3-2-1 备份策略，即至少保存 3 份数据副本，使用 2 种不同的存储介质，其中 1 份副本存储在异地离线存储中。同时，加强存储系统的访问控制，启用数据版本控制和回收站功能，防止误操作导致的数据丢失。</w:t>
      </w:r>
    </w:p>
    <w:p w14:paraId="5530E351">
      <w:pPr>
        <w:spacing w:before="320" w:after="120" w:line="288" w:lineRule="auto"/>
        <w:ind w:left="0"/>
        <w:jc w:val="left"/>
        <w:outlineLvl w:val="1"/>
      </w:pPr>
      <w:bookmarkStart w:id="10" w:name="heading_10"/>
      <w:r>
        <w:rPr>
          <w:rFonts w:ascii="Arial" w:hAnsi="Arial" w:eastAsia="等线" w:cs="Arial"/>
          <w:b/>
          <w:sz w:val="32"/>
        </w:rPr>
        <w:t>五、灾难恢复策略与实施</w:t>
      </w:r>
      <w:bookmarkEnd w:id="10"/>
    </w:p>
    <w:p w14:paraId="2A4E8B6D">
      <w:pPr>
        <w:spacing w:before="120" w:after="120" w:line="288" w:lineRule="auto"/>
        <w:ind w:left="0"/>
        <w:jc w:val="left"/>
      </w:pPr>
      <w:r>
        <w:rPr>
          <w:rFonts w:ascii="Arial" w:hAnsi="Arial" w:eastAsia="等线" w:cs="Arial"/>
          <w:sz w:val="22"/>
        </w:rPr>
        <w:t>灾难恢复是指在发生大规模物理灾难，如火灾、洪水、地震等，导致主数据中心完全损坏的情况下，能够在备用数据中心快速恢复业务运行的能力。建立完善的灾难恢复体系是保障企业业务连续性的关键，灾难恢复策略基于恢复点目标（RPO）和恢复时间目标（RTO）进行设计，对于核心 AI 业务，RPO 应不超过 4 小时，RTO 应不超过 24 小时。</w:t>
      </w:r>
    </w:p>
    <w:p w14:paraId="78B6F1D7">
      <w:pPr>
        <w:spacing w:before="120" w:after="120" w:line="288" w:lineRule="auto"/>
        <w:ind w:left="0"/>
        <w:jc w:val="left"/>
      </w:pPr>
      <w:r>
        <w:rPr>
          <w:rFonts w:ascii="Arial" w:hAnsi="Arial" w:eastAsia="等线" w:cs="Arial"/>
          <w:sz w:val="22"/>
        </w:rPr>
        <w:t>备份策略是灾难恢复的基础，采用分层备份的方式，对不同类型的数据采用不同的备份频率和保留期限。etcd 集群配置和核心系统配置每小时进行一次增量备份，每天进行一次全量备份，备份保留期限为 30 天；训练数据和模型文件每天进行一次增量备份，每周进行一次全量备份，备份保留期限为 90 天；业务数据和日志文件每天进行一次全量备份，备份保留期限为 1 年。所有备份数据都需要进行加密存储，并且至少有一份副本存储在异地的备用数据中心，确保主数据中心发生灾难时，备份数据不会受到影响。</w:t>
      </w:r>
    </w:p>
    <w:p w14:paraId="1601994C">
      <w:pPr>
        <w:spacing w:before="120" w:after="120" w:line="288" w:lineRule="auto"/>
        <w:ind w:left="0"/>
        <w:jc w:val="left"/>
      </w:pPr>
      <w:r>
        <w:rPr>
          <w:rFonts w:ascii="Arial" w:hAnsi="Arial" w:eastAsia="等线" w:cs="Arial"/>
          <w:sz w:val="22"/>
        </w:rPr>
        <w:t>备用数据中心采用温备模式，配置与主数据中心相同的硬件和软件环境，包括 GPU 服务器、存储设备、网络设备和 Kubernetes 集群，保持备用数据中心的系统版本和配置与主数据中心同步。平时备用数据中心不运行业务负载，只进行数据同步和系统维护，当主数据中心发生灾难时，能够快速切换到备用数据中心运行。对于要求更高的业务，可以采用双活模式，主备数据中心同时运行业务负载，实现负载均衡和故障自动切换，但这种模式的建设和维护成本较高。</w:t>
      </w:r>
    </w:p>
    <w:p w14:paraId="558F1CF5">
      <w:pPr>
        <w:spacing w:before="120" w:after="120" w:line="288" w:lineRule="auto"/>
        <w:ind w:left="0"/>
        <w:jc w:val="left"/>
      </w:pPr>
      <w:r>
        <w:rPr>
          <w:rFonts w:ascii="Arial" w:hAnsi="Arial" w:eastAsia="等线" w:cs="Arial"/>
          <w:sz w:val="22"/>
        </w:rPr>
        <w:t>灾难恢复流程包括灾难宣告、备用数据中心启动、数据恢复、业务部署、流量切换和业务验证六个步骤。当主数据中心发生灾难，无法在短时间内恢复时，由应急总指挥宣布启动灾难恢复预案。然后启动备用数据中心的所有服务器和网络设备，检查系统环境是否正常。从异地备份中恢复最新的数据和模型文件到备用数据中心的存储系统中。部署所有核心应用和服务，包括训练平台、推理服务和 MLOps 工具链。将业务流量从主数据中心切换到备用数据中心，逐步验证业务功能是否正常。当所有业务都恢复正常运行后，通知用户业务恢复，同时开始主数据中心的重建工作。</w:t>
      </w:r>
    </w:p>
    <w:p w14:paraId="62CEDC71">
      <w:pPr>
        <w:spacing w:before="120" w:after="120" w:line="288" w:lineRule="auto"/>
        <w:ind w:left="0"/>
        <w:jc w:val="left"/>
      </w:pPr>
      <w:r>
        <w:rPr>
          <w:rFonts w:ascii="Arial" w:hAnsi="Arial" w:eastAsia="等线" w:cs="Arial"/>
          <w:sz w:val="22"/>
        </w:rPr>
        <w:t>定期进行灾难恢复演练，至少每半年进行一次全面的灾难恢复演练，模拟主数据中心发生灾难的场景，测试灾难恢复流程的有效性和团队的应急响应能力。演练结束后进行复盘，总结演练中发现的问题，优化灾难恢复预案和流程，确保在真正发生灾难时能够顺利执行。</w:t>
      </w:r>
    </w:p>
    <w:p w14:paraId="0731277E">
      <w:pPr>
        <w:spacing w:before="320" w:after="120" w:line="288" w:lineRule="auto"/>
        <w:ind w:left="0"/>
        <w:jc w:val="left"/>
        <w:outlineLvl w:val="1"/>
      </w:pPr>
      <w:bookmarkStart w:id="11" w:name="heading_11"/>
      <w:r>
        <w:rPr>
          <w:rFonts w:ascii="Arial" w:hAnsi="Arial" w:eastAsia="等线" w:cs="Arial"/>
          <w:b/>
          <w:sz w:val="32"/>
        </w:rPr>
        <w:t>六、应急保障与持续改进</w:t>
      </w:r>
      <w:bookmarkEnd w:id="11"/>
    </w:p>
    <w:p w14:paraId="5C932866">
      <w:pPr>
        <w:spacing w:before="120" w:after="120" w:line="288" w:lineRule="auto"/>
        <w:ind w:left="0"/>
        <w:jc w:val="left"/>
      </w:pPr>
      <w:r>
        <w:rPr>
          <w:rFonts w:ascii="Arial" w:hAnsi="Arial" w:eastAsia="等线" w:cs="Arial"/>
          <w:sz w:val="22"/>
        </w:rPr>
        <w:t>建立完善的应急保障体系，确保应急响应过程中所需的资源和工具能够及时到位。技术保障方面，建立应急工具库，收集整理常用的应急命令、脚本和工具，提前准备好系统镜像、驱动安装包、模型备份等关键资源，确保在故障发生时能够快速获取。人员保障方面，建立应急响应人员备份机制，每个关键岗位至少有 2 名备份人员，确保在任何时候都有足够的人员参与应急响应。同时，加强应急响应人员的培训，定期组织技术培训和应急演练，提升人员的技术水平和应急处置能力。</w:t>
      </w:r>
    </w:p>
    <w:p w14:paraId="0B014721">
      <w:pPr>
        <w:spacing w:before="120" w:after="120" w:line="288" w:lineRule="auto"/>
        <w:ind w:left="0"/>
        <w:jc w:val="left"/>
      </w:pPr>
      <w:r>
        <w:rPr>
          <w:rFonts w:ascii="Arial" w:hAnsi="Arial" w:eastAsia="等线" w:cs="Arial"/>
          <w:sz w:val="22"/>
        </w:rPr>
        <w:t>资源保障方面，与硬件供应商和云服务提供商签订应急服务协议，确保在发生硬件故障时能够快速获得备件和技术支持。预留一定的备用硬件资源，包括 GPU 服务器、交换机、存储设备等，以便在硬件损坏时能够快速更换。资金保障方面，设立专项应急资金，用于应急处置过程中的硬件采购、外部技术支持和其他相关费用，确保应急响应工作能够顺利进行。</w:t>
      </w:r>
    </w:p>
    <w:p w14:paraId="33C24206">
      <w:pPr>
        <w:spacing w:before="120" w:after="120" w:line="288" w:lineRule="auto"/>
        <w:ind w:left="0"/>
        <w:jc w:val="left"/>
      </w:pPr>
      <w:r>
        <w:rPr>
          <w:rFonts w:ascii="Arial" w:hAnsi="Arial" w:eastAsia="等线" w:cs="Arial"/>
          <w:sz w:val="22"/>
        </w:rPr>
        <w:t>持续改进是提升应急响应能力的关键，建立故障知识库，将所有发生过的故障和处置方案记录在知识库中，便于后续查询和参考。定期更新应急响应流程和应急预案，根据系统的变化和故障复盘的结果，及时调整流程和预案，确保其有效性。建立应急响应评估机制，每次故障处置结束后，对应急响应过程进行评估，评估内容包括响应时间、处置效果、团队协作等方面，找出存在的问题和不足，制定改进措施。</w:t>
      </w:r>
    </w:p>
    <w:p w14:paraId="44AE4AD2">
      <w:pPr>
        <w:spacing w:before="320" w:after="120" w:line="288" w:lineRule="auto"/>
        <w:ind w:left="0"/>
        <w:jc w:val="left"/>
        <w:outlineLvl w:val="1"/>
      </w:pPr>
      <w:bookmarkStart w:id="12" w:name="heading_12"/>
      <w:r>
        <w:rPr>
          <w:rFonts w:ascii="Arial" w:hAnsi="Arial" w:eastAsia="等线" w:cs="Arial"/>
          <w:b/>
          <w:sz w:val="32"/>
        </w:rPr>
        <w:t>七、附录</w:t>
      </w:r>
      <w:bookmarkEnd w:id="12"/>
    </w:p>
    <w:p w14:paraId="5D0BCB93">
      <w:pPr>
        <w:spacing w:before="300" w:after="120" w:line="288" w:lineRule="auto"/>
        <w:ind w:left="0"/>
        <w:jc w:val="left"/>
        <w:outlineLvl w:val="2"/>
      </w:pPr>
      <w:bookmarkStart w:id="13" w:name="heading_13"/>
      <w:r>
        <w:rPr>
          <w:rFonts w:ascii="Arial" w:hAnsi="Arial" w:eastAsia="等线" w:cs="Arial"/>
          <w:b/>
          <w:sz w:val="30"/>
        </w:rPr>
        <w:t>应急联系人列表模板</w:t>
      </w:r>
      <w:bookmarkEnd w:id="1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EADB4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AC74AD0">
            <w:pPr>
              <w:spacing w:before="120" w:after="120" w:line="288" w:lineRule="auto"/>
              <w:ind w:left="0"/>
              <w:jc w:val="left"/>
            </w:pPr>
            <w:r>
              <w:rPr>
                <w:rFonts w:ascii="Arial" w:hAnsi="Arial" w:eastAsia="等线" w:cs="Arial"/>
                <w:sz w:val="22"/>
              </w:rPr>
              <w:t>角色</w:t>
            </w:r>
          </w:p>
        </w:tc>
        <w:tc>
          <w:tcPr>
            <w:tcW w:w="1380" w:type="dxa"/>
            <w:tcMar>
              <w:top w:w="60" w:type="dxa"/>
              <w:left w:w="120" w:type="dxa"/>
              <w:bottom w:w="30" w:type="dxa"/>
              <w:right w:w="120" w:type="dxa"/>
            </w:tcMar>
          </w:tcPr>
          <w:p w14:paraId="6150C6BE">
            <w:pPr>
              <w:spacing w:before="120" w:after="120" w:line="288" w:lineRule="auto"/>
              <w:ind w:left="0"/>
              <w:jc w:val="left"/>
            </w:pPr>
            <w:r>
              <w:rPr>
                <w:rFonts w:ascii="Arial" w:hAnsi="Arial" w:eastAsia="等线" w:cs="Arial"/>
                <w:sz w:val="22"/>
              </w:rPr>
              <w:t>姓名</w:t>
            </w:r>
          </w:p>
        </w:tc>
        <w:tc>
          <w:tcPr>
            <w:tcW w:w="1380" w:type="dxa"/>
            <w:tcMar>
              <w:top w:w="60" w:type="dxa"/>
              <w:left w:w="120" w:type="dxa"/>
              <w:bottom w:w="30" w:type="dxa"/>
              <w:right w:w="120" w:type="dxa"/>
            </w:tcMar>
          </w:tcPr>
          <w:p w14:paraId="5187BE56">
            <w:pPr>
              <w:spacing w:before="120" w:after="120" w:line="288" w:lineRule="auto"/>
              <w:ind w:left="0"/>
              <w:jc w:val="left"/>
            </w:pPr>
            <w:r>
              <w:rPr>
                <w:rFonts w:ascii="Arial" w:hAnsi="Arial" w:eastAsia="等线" w:cs="Arial"/>
                <w:sz w:val="22"/>
              </w:rPr>
              <w:t>职位</w:t>
            </w:r>
          </w:p>
        </w:tc>
        <w:tc>
          <w:tcPr>
            <w:tcW w:w="1380" w:type="dxa"/>
            <w:tcMar>
              <w:top w:w="60" w:type="dxa"/>
              <w:left w:w="120" w:type="dxa"/>
              <w:bottom w:w="30" w:type="dxa"/>
              <w:right w:w="120" w:type="dxa"/>
            </w:tcMar>
          </w:tcPr>
          <w:p w14:paraId="00F3620E">
            <w:pPr>
              <w:spacing w:before="120" w:after="120" w:line="288" w:lineRule="auto"/>
              <w:ind w:left="0"/>
              <w:jc w:val="left"/>
            </w:pPr>
            <w:r>
              <w:rPr>
                <w:rFonts w:ascii="Arial" w:hAnsi="Arial" w:eastAsia="等线" w:cs="Arial"/>
                <w:sz w:val="22"/>
              </w:rPr>
              <w:t>手机号码</w:t>
            </w:r>
          </w:p>
        </w:tc>
        <w:tc>
          <w:tcPr>
            <w:tcW w:w="1380" w:type="dxa"/>
            <w:tcMar>
              <w:top w:w="60" w:type="dxa"/>
              <w:left w:w="120" w:type="dxa"/>
              <w:bottom w:w="30" w:type="dxa"/>
              <w:right w:w="120" w:type="dxa"/>
            </w:tcMar>
          </w:tcPr>
          <w:p w14:paraId="4C191534">
            <w:pPr>
              <w:spacing w:before="120" w:after="120" w:line="288" w:lineRule="auto"/>
              <w:ind w:left="0"/>
              <w:jc w:val="left"/>
            </w:pPr>
            <w:r>
              <w:rPr>
                <w:rFonts w:ascii="Arial" w:hAnsi="Arial" w:eastAsia="等线" w:cs="Arial"/>
                <w:sz w:val="22"/>
              </w:rPr>
              <w:t>备用电话</w:t>
            </w:r>
          </w:p>
        </w:tc>
        <w:tc>
          <w:tcPr>
            <w:tcW w:w="1380" w:type="dxa"/>
            <w:tcMar>
              <w:top w:w="60" w:type="dxa"/>
              <w:left w:w="120" w:type="dxa"/>
              <w:bottom w:w="30" w:type="dxa"/>
              <w:right w:w="120" w:type="dxa"/>
            </w:tcMar>
          </w:tcPr>
          <w:p w14:paraId="337B33C9">
            <w:pPr>
              <w:spacing w:before="120" w:after="120" w:line="288" w:lineRule="auto"/>
              <w:ind w:left="0"/>
              <w:jc w:val="left"/>
            </w:pPr>
            <w:r>
              <w:rPr>
                <w:rFonts w:ascii="Arial" w:hAnsi="Arial" w:eastAsia="等线" w:cs="Arial"/>
                <w:sz w:val="22"/>
              </w:rPr>
              <w:t>邮箱</w:t>
            </w:r>
          </w:p>
        </w:tc>
      </w:tr>
      <w:tr w14:paraId="6BF5FA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63D66EB">
            <w:pPr>
              <w:spacing w:before="120" w:after="120" w:line="288" w:lineRule="auto"/>
              <w:ind w:left="0"/>
              <w:jc w:val="left"/>
            </w:pPr>
            <w:r>
              <w:rPr>
                <w:rFonts w:ascii="Arial" w:hAnsi="Arial" w:eastAsia="等线" w:cs="Arial"/>
                <w:sz w:val="22"/>
              </w:rPr>
              <w:t>应急总指挥</w:t>
            </w:r>
          </w:p>
        </w:tc>
        <w:tc>
          <w:tcPr>
            <w:tcW w:w="1380" w:type="dxa"/>
            <w:tcMar>
              <w:top w:w="60" w:type="dxa"/>
              <w:left w:w="120" w:type="dxa"/>
              <w:bottom w:w="30" w:type="dxa"/>
              <w:right w:w="120" w:type="dxa"/>
            </w:tcMar>
          </w:tcPr>
          <w:p w14:paraId="39583FE7">
            <w:pPr>
              <w:spacing w:before="120" w:after="120" w:line="288" w:lineRule="auto"/>
              <w:ind w:left="0"/>
              <w:jc w:val="left"/>
            </w:pPr>
          </w:p>
        </w:tc>
        <w:tc>
          <w:tcPr>
            <w:tcW w:w="1380" w:type="dxa"/>
            <w:tcMar>
              <w:top w:w="60" w:type="dxa"/>
              <w:left w:w="120" w:type="dxa"/>
              <w:bottom w:w="30" w:type="dxa"/>
              <w:right w:w="120" w:type="dxa"/>
            </w:tcMar>
          </w:tcPr>
          <w:p w14:paraId="2F1D4D07">
            <w:pPr>
              <w:spacing w:before="120" w:after="120" w:line="288" w:lineRule="auto"/>
              <w:ind w:left="0"/>
              <w:jc w:val="left"/>
            </w:pPr>
            <w:r>
              <w:rPr>
                <w:rFonts w:ascii="Arial" w:hAnsi="Arial" w:eastAsia="等线" w:cs="Arial"/>
                <w:sz w:val="22"/>
              </w:rPr>
              <w:t>CTO</w:t>
            </w:r>
          </w:p>
        </w:tc>
        <w:tc>
          <w:tcPr>
            <w:tcW w:w="1380" w:type="dxa"/>
            <w:tcMar>
              <w:top w:w="60" w:type="dxa"/>
              <w:left w:w="120" w:type="dxa"/>
              <w:bottom w:w="30" w:type="dxa"/>
              <w:right w:w="120" w:type="dxa"/>
            </w:tcMar>
          </w:tcPr>
          <w:p w14:paraId="37FB0229">
            <w:pPr>
              <w:spacing w:before="120" w:after="120" w:line="288" w:lineRule="auto"/>
              <w:ind w:left="0"/>
              <w:jc w:val="left"/>
            </w:pPr>
          </w:p>
        </w:tc>
        <w:tc>
          <w:tcPr>
            <w:tcW w:w="1380" w:type="dxa"/>
            <w:tcMar>
              <w:top w:w="60" w:type="dxa"/>
              <w:left w:w="120" w:type="dxa"/>
              <w:bottom w:w="30" w:type="dxa"/>
              <w:right w:w="120" w:type="dxa"/>
            </w:tcMar>
          </w:tcPr>
          <w:p w14:paraId="795B8FAD">
            <w:pPr>
              <w:spacing w:before="120" w:after="120" w:line="288" w:lineRule="auto"/>
              <w:ind w:left="0"/>
              <w:jc w:val="left"/>
            </w:pPr>
          </w:p>
        </w:tc>
        <w:tc>
          <w:tcPr>
            <w:tcW w:w="1380" w:type="dxa"/>
            <w:tcMar>
              <w:top w:w="60" w:type="dxa"/>
              <w:left w:w="120" w:type="dxa"/>
              <w:bottom w:w="30" w:type="dxa"/>
              <w:right w:w="120" w:type="dxa"/>
            </w:tcMar>
          </w:tcPr>
          <w:p w14:paraId="77466104">
            <w:pPr>
              <w:spacing w:before="120" w:after="120" w:line="288" w:lineRule="auto"/>
              <w:ind w:left="0"/>
              <w:jc w:val="left"/>
            </w:pPr>
          </w:p>
        </w:tc>
      </w:tr>
      <w:tr w14:paraId="1ADEFB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7224CF1">
            <w:pPr>
              <w:spacing w:before="120" w:after="120" w:line="288" w:lineRule="auto"/>
              <w:ind w:left="0"/>
              <w:jc w:val="left"/>
            </w:pPr>
            <w:r>
              <w:rPr>
                <w:rFonts w:ascii="Arial" w:hAnsi="Arial" w:eastAsia="等线" w:cs="Arial"/>
                <w:sz w:val="22"/>
              </w:rPr>
              <w:t>技术总负责人</w:t>
            </w:r>
          </w:p>
        </w:tc>
        <w:tc>
          <w:tcPr>
            <w:tcW w:w="1380" w:type="dxa"/>
            <w:tcMar>
              <w:top w:w="60" w:type="dxa"/>
              <w:left w:w="120" w:type="dxa"/>
              <w:bottom w:w="30" w:type="dxa"/>
              <w:right w:w="120" w:type="dxa"/>
            </w:tcMar>
          </w:tcPr>
          <w:p w14:paraId="3AE7743B">
            <w:pPr>
              <w:spacing w:before="120" w:after="120" w:line="288" w:lineRule="auto"/>
              <w:ind w:left="0"/>
              <w:jc w:val="left"/>
            </w:pPr>
          </w:p>
        </w:tc>
        <w:tc>
          <w:tcPr>
            <w:tcW w:w="1380" w:type="dxa"/>
            <w:tcMar>
              <w:top w:w="60" w:type="dxa"/>
              <w:left w:w="120" w:type="dxa"/>
              <w:bottom w:w="30" w:type="dxa"/>
              <w:right w:w="120" w:type="dxa"/>
            </w:tcMar>
          </w:tcPr>
          <w:p w14:paraId="3B62D8F0">
            <w:pPr>
              <w:spacing w:before="120" w:after="120" w:line="288" w:lineRule="auto"/>
              <w:ind w:left="0"/>
              <w:jc w:val="left"/>
            </w:pPr>
            <w:r>
              <w:rPr>
                <w:rFonts w:ascii="Arial" w:hAnsi="Arial" w:eastAsia="等线" w:cs="Arial"/>
                <w:sz w:val="22"/>
              </w:rPr>
              <w:t>AI 运维架构师</w:t>
            </w:r>
          </w:p>
        </w:tc>
        <w:tc>
          <w:tcPr>
            <w:tcW w:w="1380" w:type="dxa"/>
            <w:tcMar>
              <w:top w:w="60" w:type="dxa"/>
              <w:left w:w="120" w:type="dxa"/>
              <w:bottom w:w="30" w:type="dxa"/>
              <w:right w:w="120" w:type="dxa"/>
            </w:tcMar>
          </w:tcPr>
          <w:p w14:paraId="623EED3C">
            <w:pPr>
              <w:spacing w:before="120" w:after="120" w:line="288" w:lineRule="auto"/>
              <w:ind w:left="0"/>
              <w:jc w:val="left"/>
            </w:pPr>
          </w:p>
        </w:tc>
        <w:tc>
          <w:tcPr>
            <w:tcW w:w="1380" w:type="dxa"/>
            <w:tcMar>
              <w:top w:w="60" w:type="dxa"/>
              <w:left w:w="120" w:type="dxa"/>
              <w:bottom w:w="30" w:type="dxa"/>
              <w:right w:w="120" w:type="dxa"/>
            </w:tcMar>
          </w:tcPr>
          <w:p w14:paraId="657853DC">
            <w:pPr>
              <w:spacing w:before="120" w:after="120" w:line="288" w:lineRule="auto"/>
              <w:ind w:left="0"/>
              <w:jc w:val="left"/>
            </w:pPr>
          </w:p>
        </w:tc>
        <w:tc>
          <w:tcPr>
            <w:tcW w:w="1380" w:type="dxa"/>
            <w:tcMar>
              <w:top w:w="60" w:type="dxa"/>
              <w:left w:w="120" w:type="dxa"/>
              <w:bottom w:w="30" w:type="dxa"/>
              <w:right w:w="120" w:type="dxa"/>
            </w:tcMar>
          </w:tcPr>
          <w:p w14:paraId="3F3AB5FA">
            <w:pPr>
              <w:spacing w:before="120" w:after="120" w:line="288" w:lineRule="auto"/>
              <w:ind w:left="0"/>
              <w:jc w:val="left"/>
            </w:pPr>
          </w:p>
        </w:tc>
      </w:tr>
      <w:tr w14:paraId="3E3AFC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55D1C2B">
            <w:pPr>
              <w:spacing w:before="120" w:after="120" w:line="288" w:lineRule="auto"/>
              <w:ind w:left="0"/>
              <w:jc w:val="left"/>
            </w:pPr>
            <w:r>
              <w:rPr>
                <w:rFonts w:ascii="Arial" w:hAnsi="Arial" w:eastAsia="等线" w:cs="Arial"/>
                <w:sz w:val="22"/>
              </w:rPr>
              <w:t>基础设施组组长</w:t>
            </w:r>
          </w:p>
        </w:tc>
        <w:tc>
          <w:tcPr>
            <w:tcW w:w="1380" w:type="dxa"/>
            <w:tcMar>
              <w:top w:w="60" w:type="dxa"/>
              <w:left w:w="120" w:type="dxa"/>
              <w:bottom w:w="30" w:type="dxa"/>
              <w:right w:w="120" w:type="dxa"/>
            </w:tcMar>
          </w:tcPr>
          <w:p w14:paraId="261783C3">
            <w:pPr>
              <w:spacing w:before="120" w:after="120" w:line="288" w:lineRule="auto"/>
              <w:ind w:left="0"/>
              <w:jc w:val="left"/>
            </w:pPr>
          </w:p>
        </w:tc>
        <w:tc>
          <w:tcPr>
            <w:tcW w:w="1380" w:type="dxa"/>
            <w:tcMar>
              <w:top w:w="60" w:type="dxa"/>
              <w:left w:w="120" w:type="dxa"/>
              <w:bottom w:w="30" w:type="dxa"/>
              <w:right w:w="120" w:type="dxa"/>
            </w:tcMar>
          </w:tcPr>
          <w:p w14:paraId="48624735">
            <w:pPr>
              <w:spacing w:before="120" w:after="120" w:line="288" w:lineRule="auto"/>
              <w:ind w:left="0"/>
              <w:jc w:val="left"/>
            </w:pPr>
            <w:r>
              <w:rPr>
                <w:rFonts w:ascii="Arial" w:hAnsi="Arial" w:eastAsia="等线" w:cs="Arial"/>
                <w:sz w:val="22"/>
              </w:rPr>
              <w:t>高级运维工程师</w:t>
            </w:r>
          </w:p>
        </w:tc>
        <w:tc>
          <w:tcPr>
            <w:tcW w:w="1380" w:type="dxa"/>
            <w:tcMar>
              <w:top w:w="60" w:type="dxa"/>
              <w:left w:w="120" w:type="dxa"/>
              <w:bottom w:w="30" w:type="dxa"/>
              <w:right w:w="120" w:type="dxa"/>
            </w:tcMar>
          </w:tcPr>
          <w:p w14:paraId="5239ACC6">
            <w:pPr>
              <w:spacing w:before="120" w:after="120" w:line="288" w:lineRule="auto"/>
              <w:ind w:left="0"/>
              <w:jc w:val="left"/>
            </w:pPr>
          </w:p>
        </w:tc>
        <w:tc>
          <w:tcPr>
            <w:tcW w:w="1380" w:type="dxa"/>
            <w:tcMar>
              <w:top w:w="60" w:type="dxa"/>
              <w:left w:w="120" w:type="dxa"/>
              <w:bottom w:w="30" w:type="dxa"/>
              <w:right w:w="120" w:type="dxa"/>
            </w:tcMar>
          </w:tcPr>
          <w:p w14:paraId="3929E6D7">
            <w:pPr>
              <w:spacing w:before="120" w:after="120" w:line="288" w:lineRule="auto"/>
              <w:ind w:left="0"/>
              <w:jc w:val="left"/>
            </w:pPr>
          </w:p>
        </w:tc>
        <w:tc>
          <w:tcPr>
            <w:tcW w:w="1380" w:type="dxa"/>
            <w:tcMar>
              <w:top w:w="60" w:type="dxa"/>
              <w:left w:w="120" w:type="dxa"/>
              <w:bottom w:w="30" w:type="dxa"/>
              <w:right w:w="120" w:type="dxa"/>
            </w:tcMar>
          </w:tcPr>
          <w:p w14:paraId="7CF05B10">
            <w:pPr>
              <w:spacing w:before="120" w:after="120" w:line="288" w:lineRule="auto"/>
              <w:ind w:left="0"/>
              <w:jc w:val="left"/>
            </w:pPr>
          </w:p>
        </w:tc>
      </w:tr>
      <w:tr w14:paraId="192482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2B295B0">
            <w:pPr>
              <w:spacing w:before="120" w:after="120" w:line="288" w:lineRule="auto"/>
              <w:ind w:left="0"/>
              <w:jc w:val="left"/>
            </w:pPr>
            <w:r>
              <w:rPr>
                <w:rFonts w:ascii="Arial" w:hAnsi="Arial" w:eastAsia="等线" w:cs="Arial"/>
                <w:sz w:val="22"/>
              </w:rPr>
              <w:t>Kubernetes 平台组组长</w:t>
            </w:r>
          </w:p>
        </w:tc>
        <w:tc>
          <w:tcPr>
            <w:tcW w:w="1380" w:type="dxa"/>
            <w:tcMar>
              <w:top w:w="60" w:type="dxa"/>
              <w:left w:w="120" w:type="dxa"/>
              <w:bottom w:w="30" w:type="dxa"/>
              <w:right w:w="120" w:type="dxa"/>
            </w:tcMar>
          </w:tcPr>
          <w:p w14:paraId="442DDF47">
            <w:pPr>
              <w:spacing w:before="120" w:after="120" w:line="288" w:lineRule="auto"/>
              <w:ind w:left="0"/>
              <w:jc w:val="left"/>
            </w:pPr>
          </w:p>
        </w:tc>
        <w:tc>
          <w:tcPr>
            <w:tcW w:w="1380" w:type="dxa"/>
            <w:tcMar>
              <w:top w:w="60" w:type="dxa"/>
              <w:left w:w="120" w:type="dxa"/>
              <w:bottom w:w="30" w:type="dxa"/>
              <w:right w:w="120" w:type="dxa"/>
            </w:tcMar>
          </w:tcPr>
          <w:p w14:paraId="2685142A">
            <w:pPr>
              <w:spacing w:before="120" w:after="120" w:line="288" w:lineRule="auto"/>
              <w:ind w:left="0"/>
              <w:jc w:val="left"/>
            </w:pPr>
            <w:r>
              <w:rPr>
                <w:rFonts w:ascii="Arial" w:hAnsi="Arial" w:eastAsia="等线" w:cs="Arial"/>
                <w:sz w:val="22"/>
              </w:rPr>
              <w:t>高级 Kubernetes 工程师</w:t>
            </w:r>
          </w:p>
        </w:tc>
        <w:tc>
          <w:tcPr>
            <w:tcW w:w="1380" w:type="dxa"/>
            <w:tcMar>
              <w:top w:w="60" w:type="dxa"/>
              <w:left w:w="120" w:type="dxa"/>
              <w:bottom w:w="30" w:type="dxa"/>
              <w:right w:w="120" w:type="dxa"/>
            </w:tcMar>
          </w:tcPr>
          <w:p w14:paraId="0FC5C8F9">
            <w:pPr>
              <w:spacing w:before="120" w:after="120" w:line="288" w:lineRule="auto"/>
              <w:ind w:left="0"/>
              <w:jc w:val="left"/>
            </w:pPr>
          </w:p>
        </w:tc>
        <w:tc>
          <w:tcPr>
            <w:tcW w:w="1380" w:type="dxa"/>
            <w:tcMar>
              <w:top w:w="60" w:type="dxa"/>
              <w:left w:w="120" w:type="dxa"/>
              <w:bottom w:w="30" w:type="dxa"/>
              <w:right w:w="120" w:type="dxa"/>
            </w:tcMar>
          </w:tcPr>
          <w:p w14:paraId="70654CAB">
            <w:pPr>
              <w:spacing w:before="120" w:after="120" w:line="288" w:lineRule="auto"/>
              <w:ind w:left="0"/>
              <w:jc w:val="left"/>
            </w:pPr>
          </w:p>
        </w:tc>
        <w:tc>
          <w:tcPr>
            <w:tcW w:w="1380" w:type="dxa"/>
            <w:tcMar>
              <w:top w:w="60" w:type="dxa"/>
              <w:left w:w="120" w:type="dxa"/>
              <w:bottom w:w="30" w:type="dxa"/>
              <w:right w:w="120" w:type="dxa"/>
            </w:tcMar>
          </w:tcPr>
          <w:p w14:paraId="78F9C4D5">
            <w:pPr>
              <w:spacing w:before="120" w:after="120" w:line="288" w:lineRule="auto"/>
              <w:ind w:left="0"/>
              <w:jc w:val="left"/>
            </w:pPr>
          </w:p>
        </w:tc>
      </w:tr>
      <w:tr w14:paraId="15C215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32421AF">
            <w:pPr>
              <w:spacing w:before="120" w:after="120" w:line="288" w:lineRule="auto"/>
              <w:ind w:left="0"/>
              <w:jc w:val="left"/>
            </w:pPr>
            <w:r>
              <w:rPr>
                <w:rFonts w:ascii="Arial" w:hAnsi="Arial" w:eastAsia="等线" w:cs="Arial"/>
                <w:sz w:val="22"/>
              </w:rPr>
              <w:t>推理服务组组长</w:t>
            </w:r>
          </w:p>
        </w:tc>
        <w:tc>
          <w:tcPr>
            <w:tcW w:w="1380" w:type="dxa"/>
            <w:tcMar>
              <w:top w:w="60" w:type="dxa"/>
              <w:left w:w="120" w:type="dxa"/>
              <w:bottom w:w="30" w:type="dxa"/>
              <w:right w:w="120" w:type="dxa"/>
            </w:tcMar>
          </w:tcPr>
          <w:p w14:paraId="1864E832">
            <w:pPr>
              <w:spacing w:before="120" w:after="120" w:line="288" w:lineRule="auto"/>
              <w:ind w:left="0"/>
              <w:jc w:val="left"/>
            </w:pPr>
          </w:p>
        </w:tc>
        <w:tc>
          <w:tcPr>
            <w:tcW w:w="1380" w:type="dxa"/>
            <w:tcMar>
              <w:top w:w="60" w:type="dxa"/>
              <w:left w:w="120" w:type="dxa"/>
              <w:bottom w:w="30" w:type="dxa"/>
              <w:right w:w="120" w:type="dxa"/>
            </w:tcMar>
          </w:tcPr>
          <w:p w14:paraId="2391A4D5">
            <w:pPr>
              <w:spacing w:before="120" w:after="120" w:line="288" w:lineRule="auto"/>
              <w:ind w:left="0"/>
              <w:jc w:val="left"/>
            </w:pPr>
            <w:r>
              <w:rPr>
                <w:rFonts w:ascii="Arial" w:hAnsi="Arial" w:eastAsia="等线" w:cs="Arial"/>
                <w:sz w:val="22"/>
              </w:rPr>
              <w:t>高级算法工程师</w:t>
            </w:r>
          </w:p>
        </w:tc>
        <w:tc>
          <w:tcPr>
            <w:tcW w:w="1380" w:type="dxa"/>
            <w:tcMar>
              <w:top w:w="60" w:type="dxa"/>
              <w:left w:w="120" w:type="dxa"/>
              <w:bottom w:w="30" w:type="dxa"/>
              <w:right w:w="120" w:type="dxa"/>
            </w:tcMar>
          </w:tcPr>
          <w:p w14:paraId="3CD71D72">
            <w:pPr>
              <w:spacing w:before="120" w:after="120" w:line="288" w:lineRule="auto"/>
              <w:ind w:left="0"/>
              <w:jc w:val="left"/>
            </w:pPr>
          </w:p>
        </w:tc>
        <w:tc>
          <w:tcPr>
            <w:tcW w:w="1380" w:type="dxa"/>
            <w:tcMar>
              <w:top w:w="60" w:type="dxa"/>
              <w:left w:w="120" w:type="dxa"/>
              <w:bottom w:w="30" w:type="dxa"/>
              <w:right w:w="120" w:type="dxa"/>
            </w:tcMar>
          </w:tcPr>
          <w:p w14:paraId="6E4B1A4B">
            <w:pPr>
              <w:spacing w:before="120" w:after="120" w:line="288" w:lineRule="auto"/>
              <w:ind w:left="0"/>
              <w:jc w:val="left"/>
            </w:pPr>
          </w:p>
        </w:tc>
        <w:tc>
          <w:tcPr>
            <w:tcW w:w="1380" w:type="dxa"/>
            <w:tcMar>
              <w:top w:w="60" w:type="dxa"/>
              <w:left w:w="120" w:type="dxa"/>
              <w:bottom w:w="30" w:type="dxa"/>
              <w:right w:w="120" w:type="dxa"/>
            </w:tcMar>
          </w:tcPr>
          <w:p w14:paraId="36A4254A">
            <w:pPr>
              <w:spacing w:before="120" w:after="120" w:line="288" w:lineRule="auto"/>
              <w:ind w:left="0"/>
              <w:jc w:val="left"/>
            </w:pPr>
          </w:p>
        </w:tc>
      </w:tr>
      <w:tr w14:paraId="7885CF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466CE43">
            <w:pPr>
              <w:spacing w:before="120" w:after="120" w:line="288" w:lineRule="auto"/>
              <w:ind w:left="0"/>
              <w:jc w:val="left"/>
            </w:pPr>
            <w:r>
              <w:rPr>
                <w:rFonts w:ascii="Arial" w:hAnsi="Arial" w:eastAsia="等线" w:cs="Arial"/>
                <w:sz w:val="22"/>
              </w:rPr>
              <w:t>数据安全组组长</w:t>
            </w:r>
          </w:p>
        </w:tc>
        <w:tc>
          <w:tcPr>
            <w:tcW w:w="1380" w:type="dxa"/>
            <w:tcMar>
              <w:top w:w="60" w:type="dxa"/>
              <w:left w:w="120" w:type="dxa"/>
              <w:bottom w:w="30" w:type="dxa"/>
              <w:right w:w="120" w:type="dxa"/>
            </w:tcMar>
          </w:tcPr>
          <w:p w14:paraId="134786E3">
            <w:pPr>
              <w:spacing w:before="120" w:after="120" w:line="288" w:lineRule="auto"/>
              <w:ind w:left="0"/>
              <w:jc w:val="left"/>
            </w:pPr>
          </w:p>
        </w:tc>
        <w:tc>
          <w:tcPr>
            <w:tcW w:w="1380" w:type="dxa"/>
            <w:tcMar>
              <w:top w:w="60" w:type="dxa"/>
              <w:left w:w="120" w:type="dxa"/>
              <w:bottom w:w="30" w:type="dxa"/>
              <w:right w:w="120" w:type="dxa"/>
            </w:tcMar>
          </w:tcPr>
          <w:p w14:paraId="5F5622BF">
            <w:pPr>
              <w:spacing w:before="120" w:after="120" w:line="288" w:lineRule="auto"/>
              <w:ind w:left="0"/>
              <w:jc w:val="left"/>
            </w:pPr>
            <w:r>
              <w:rPr>
                <w:rFonts w:ascii="Arial" w:hAnsi="Arial" w:eastAsia="等线" w:cs="Arial"/>
                <w:sz w:val="22"/>
              </w:rPr>
              <w:t>安全工程师</w:t>
            </w:r>
          </w:p>
        </w:tc>
        <w:tc>
          <w:tcPr>
            <w:tcW w:w="1380" w:type="dxa"/>
            <w:tcMar>
              <w:top w:w="60" w:type="dxa"/>
              <w:left w:w="120" w:type="dxa"/>
              <w:bottom w:w="30" w:type="dxa"/>
              <w:right w:w="120" w:type="dxa"/>
            </w:tcMar>
          </w:tcPr>
          <w:p w14:paraId="0F4E3ED7">
            <w:pPr>
              <w:spacing w:before="120" w:after="120" w:line="288" w:lineRule="auto"/>
              <w:ind w:left="0"/>
              <w:jc w:val="left"/>
            </w:pPr>
          </w:p>
        </w:tc>
        <w:tc>
          <w:tcPr>
            <w:tcW w:w="1380" w:type="dxa"/>
            <w:tcMar>
              <w:top w:w="60" w:type="dxa"/>
              <w:left w:w="120" w:type="dxa"/>
              <w:bottom w:w="30" w:type="dxa"/>
              <w:right w:w="120" w:type="dxa"/>
            </w:tcMar>
          </w:tcPr>
          <w:p w14:paraId="4BFCD748">
            <w:pPr>
              <w:spacing w:before="120" w:after="120" w:line="288" w:lineRule="auto"/>
              <w:ind w:left="0"/>
              <w:jc w:val="left"/>
            </w:pPr>
          </w:p>
        </w:tc>
        <w:tc>
          <w:tcPr>
            <w:tcW w:w="1380" w:type="dxa"/>
            <w:tcMar>
              <w:top w:w="60" w:type="dxa"/>
              <w:left w:w="120" w:type="dxa"/>
              <w:bottom w:w="30" w:type="dxa"/>
              <w:right w:w="120" w:type="dxa"/>
            </w:tcMar>
          </w:tcPr>
          <w:p w14:paraId="2018D428">
            <w:pPr>
              <w:spacing w:before="120" w:after="120" w:line="288" w:lineRule="auto"/>
              <w:ind w:left="0"/>
              <w:jc w:val="left"/>
            </w:pPr>
          </w:p>
        </w:tc>
      </w:tr>
    </w:tbl>
    <w:p w14:paraId="385B7066">
      <w:pPr>
        <w:spacing w:before="300" w:after="120" w:line="288" w:lineRule="auto"/>
        <w:ind w:left="0"/>
        <w:jc w:val="left"/>
        <w:outlineLvl w:val="2"/>
      </w:pPr>
      <w:bookmarkStart w:id="14" w:name="heading_14"/>
      <w:r>
        <w:rPr>
          <w:rFonts w:ascii="Arial" w:hAnsi="Arial" w:eastAsia="等线" w:cs="Arial"/>
          <w:b/>
          <w:sz w:val="30"/>
        </w:rPr>
        <w:t>P0 级故障报告模板</w:t>
      </w:r>
      <w:bookmarkEnd w:id="14"/>
    </w:p>
    <w:p w14:paraId="5E35D2A6">
      <w:pPr>
        <w:numPr>
          <w:ilvl w:val="0"/>
          <w:numId w:val="1"/>
        </w:numPr>
        <w:spacing w:before="120" w:after="120" w:line="288" w:lineRule="auto"/>
        <w:ind w:left="0"/>
        <w:jc w:val="left"/>
      </w:pPr>
      <w:r>
        <w:rPr>
          <w:rFonts w:ascii="Arial" w:hAnsi="Arial" w:eastAsia="等线" w:cs="Arial"/>
          <w:sz w:val="22"/>
        </w:rPr>
        <w:t>故障基本信息：故障编号、故障名称、发生时间、恢复时间、故障等级、影响范围</w:t>
      </w:r>
    </w:p>
    <w:p w14:paraId="3C7DFC0F">
      <w:pPr>
        <w:numPr>
          <w:ilvl w:val="0"/>
          <w:numId w:val="2"/>
        </w:numPr>
        <w:spacing w:before="120" w:after="120" w:line="288" w:lineRule="auto"/>
        <w:ind w:left="0"/>
        <w:jc w:val="left"/>
      </w:pPr>
      <w:r>
        <w:rPr>
          <w:rFonts w:ascii="Arial" w:hAnsi="Arial" w:eastAsia="等线" w:cs="Arial"/>
          <w:sz w:val="22"/>
        </w:rPr>
        <w:t>故障现象描述：详细描述故障发生时的系统状态和业务表现</w:t>
      </w:r>
    </w:p>
    <w:p w14:paraId="3105F3CC">
      <w:pPr>
        <w:numPr>
          <w:ilvl w:val="0"/>
          <w:numId w:val="3"/>
        </w:numPr>
        <w:spacing w:before="120" w:after="120" w:line="288" w:lineRule="auto"/>
        <w:ind w:left="0"/>
        <w:jc w:val="left"/>
      </w:pPr>
      <w:r>
        <w:rPr>
          <w:rFonts w:ascii="Arial" w:hAnsi="Arial" w:eastAsia="等线" w:cs="Arial"/>
          <w:sz w:val="22"/>
        </w:rPr>
        <w:t>故障排查过程：记录故障排查的步骤、发现的问题和参与人员</w:t>
      </w:r>
    </w:p>
    <w:p w14:paraId="0E2FFE6B">
      <w:pPr>
        <w:numPr>
          <w:ilvl w:val="0"/>
          <w:numId w:val="4"/>
        </w:numPr>
        <w:spacing w:before="120" w:after="120" w:line="288" w:lineRule="auto"/>
        <w:ind w:left="0"/>
        <w:jc w:val="left"/>
      </w:pPr>
      <w:r>
        <w:rPr>
          <w:rFonts w:ascii="Arial" w:hAnsi="Arial" w:eastAsia="等线" w:cs="Arial"/>
          <w:sz w:val="22"/>
        </w:rPr>
        <w:t>故障根本原因：分析故障发生的技术原因和管理原因</w:t>
      </w:r>
    </w:p>
    <w:p w14:paraId="2AD51761">
      <w:pPr>
        <w:numPr>
          <w:ilvl w:val="0"/>
          <w:numId w:val="5"/>
        </w:numPr>
        <w:spacing w:before="120" w:after="120" w:line="288" w:lineRule="auto"/>
        <w:ind w:left="0"/>
        <w:jc w:val="left"/>
      </w:pPr>
      <w:r>
        <w:rPr>
          <w:rFonts w:ascii="Arial" w:hAnsi="Arial" w:eastAsia="等线" w:cs="Arial"/>
          <w:sz w:val="22"/>
        </w:rPr>
        <w:t>应急处置过程：记录采取的应急措施、实施时间和效果</w:t>
      </w:r>
    </w:p>
    <w:p w14:paraId="7436E726">
      <w:pPr>
        <w:numPr>
          <w:ilvl w:val="0"/>
          <w:numId w:val="6"/>
        </w:numPr>
        <w:spacing w:before="120" w:after="120" w:line="288" w:lineRule="auto"/>
        <w:ind w:left="0"/>
        <w:jc w:val="left"/>
      </w:pPr>
      <w:r>
        <w:rPr>
          <w:rFonts w:ascii="Arial" w:hAnsi="Arial" w:eastAsia="等线" w:cs="Arial"/>
          <w:sz w:val="22"/>
        </w:rPr>
        <w:t>业务恢复情况：说明业务恢复的时间、恢复的业务范围和验证结果</w:t>
      </w:r>
    </w:p>
    <w:p w14:paraId="7B581FEB">
      <w:pPr>
        <w:numPr>
          <w:ilvl w:val="0"/>
          <w:numId w:val="7"/>
        </w:numPr>
        <w:spacing w:before="120" w:after="120" w:line="288" w:lineRule="auto"/>
        <w:ind w:left="0"/>
        <w:jc w:val="left"/>
      </w:pPr>
      <w:r>
        <w:rPr>
          <w:rFonts w:ascii="Arial" w:hAnsi="Arial" w:eastAsia="等线" w:cs="Arial"/>
          <w:sz w:val="22"/>
        </w:rPr>
        <w:t>损失评估：评估故障造成的经济损失、业务影响和声誉影响</w:t>
      </w:r>
    </w:p>
    <w:p w14:paraId="2B87AC41">
      <w:pPr>
        <w:numPr>
          <w:ilvl w:val="0"/>
          <w:numId w:val="8"/>
        </w:numPr>
        <w:spacing w:before="120" w:after="120" w:line="288" w:lineRule="auto"/>
        <w:ind w:left="0"/>
        <w:jc w:val="left"/>
      </w:pPr>
      <w:r>
        <w:rPr>
          <w:rFonts w:ascii="Arial" w:hAnsi="Arial" w:eastAsia="等线" w:cs="Arial"/>
          <w:sz w:val="22"/>
        </w:rPr>
        <w:t>整改措施：列出需要整改的问题、整改责任人、整改内容和完成时间</w:t>
      </w:r>
    </w:p>
    <w:p w14:paraId="4D3A28B9">
      <w:pPr>
        <w:numPr>
          <w:ilvl w:val="0"/>
          <w:numId w:val="9"/>
        </w:numPr>
        <w:spacing w:before="120" w:after="120" w:line="288" w:lineRule="auto"/>
        <w:ind w:left="0"/>
        <w:jc w:val="left"/>
      </w:pPr>
      <w:r>
        <w:rPr>
          <w:rFonts w:ascii="Arial" w:hAnsi="Arial" w:eastAsia="等线" w:cs="Arial"/>
          <w:sz w:val="22"/>
        </w:rPr>
        <w:t>经验教训：总结故障处置过程中的优点和不足，提出改进建议</w:t>
      </w:r>
    </w:p>
    <w:p w14:paraId="35309B03">
      <w:pPr>
        <w:spacing w:before="300" w:after="120" w:line="288" w:lineRule="auto"/>
        <w:ind w:left="0"/>
        <w:jc w:val="left"/>
        <w:outlineLvl w:val="2"/>
      </w:pPr>
      <w:bookmarkStart w:id="15" w:name="heading_15"/>
      <w:r>
        <w:rPr>
          <w:rFonts w:ascii="Arial" w:hAnsi="Arial" w:eastAsia="等线" w:cs="Arial"/>
          <w:b/>
          <w:sz w:val="30"/>
        </w:rPr>
        <w:t>常用应急命令速查</w:t>
      </w:r>
      <w:bookmarkEnd w:id="15"/>
    </w:p>
    <w:p w14:paraId="7143CEDE">
      <w:pPr>
        <w:spacing w:before="120" w:after="120" w:line="288" w:lineRule="auto"/>
        <w:ind w:left="0"/>
        <w:jc w:val="left"/>
      </w:pPr>
      <w:r>
        <w:rPr>
          <w:rFonts w:ascii="Arial" w:hAnsi="Arial" w:eastAsia="等线" w:cs="Arial"/>
          <w:sz w:val="22"/>
        </w:rPr>
        <w:t>etcd 集群健康检查：</w:t>
      </w:r>
      <w:r>
        <w:rPr>
          <w:rFonts w:ascii="Consolas" w:hAnsi="Consolas" w:eastAsia="Consolas" w:cs="Consolas"/>
          <w:sz w:val="22"/>
          <w:shd w:val="clear" w:fill="EFF0F1"/>
        </w:rPr>
        <w:t>etcdctl --endpoints=https://127.0.0.1:2379 --cacert=/etc/kubernetes/pki/etcd/ca.crt --cert=/etc/kubernetes/pki/etcd/healthcheck-client.crt --key=/etc/kubernetes/pki/etcd/healthcheck-client.key endpoint health</w:t>
      </w:r>
      <w:r>
        <w:rPr>
          <w:rFonts w:ascii="Arial" w:hAnsi="Arial" w:eastAsia="等线" w:cs="Arial"/>
          <w:sz w:val="22"/>
        </w:rPr>
        <w:br w:type="textWrapping"/>
      </w:r>
      <w:r>
        <w:rPr>
          <w:rFonts w:ascii="Arial" w:hAnsi="Arial" w:eastAsia="等线" w:cs="Arial"/>
          <w:sz w:val="22"/>
        </w:rPr>
        <w:t>etcd 数据备份：</w:t>
      </w:r>
      <w:r>
        <w:rPr>
          <w:rFonts w:ascii="Consolas" w:hAnsi="Consolas" w:eastAsia="Consolas" w:cs="Consolas"/>
          <w:sz w:val="22"/>
          <w:shd w:val="clear" w:fill="EFF0F1"/>
        </w:rPr>
        <w:t>etcdctl --endpoints=https://127.0.0.1:2379 --cacert=/etc/kubernetes/pki/etcd/ca.crt --cert=/etc/kubernetes/pki/etcd/healthcheck-client.crt --key=/etc/kubernetes/pki/etcd/healthcheck-client.key snapshot save backup.db</w:t>
      </w:r>
      <w:r>
        <w:rPr>
          <w:rFonts w:ascii="Arial" w:hAnsi="Arial" w:eastAsia="等线" w:cs="Arial"/>
          <w:sz w:val="22"/>
        </w:rPr>
        <w:br w:type="textWrapping"/>
      </w:r>
      <w:r>
        <w:rPr>
          <w:rFonts w:ascii="Arial" w:hAnsi="Arial" w:eastAsia="等线" w:cs="Arial"/>
          <w:sz w:val="22"/>
        </w:rPr>
        <w:t>Kubernetes 节点状态检查：</w:t>
      </w:r>
      <w:r>
        <w:rPr>
          <w:rFonts w:ascii="Consolas" w:hAnsi="Consolas" w:eastAsia="Consolas" w:cs="Consolas"/>
          <w:sz w:val="22"/>
          <w:shd w:val="clear" w:fill="EFF0F1"/>
        </w:rPr>
        <w:t>kubectl get nodes -o wide</w:t>
      </w:r>
      <w:r>
        <w:rPr>
          <w:rFonts w:ascii="Arial" w:hAnsi="Arial" w:eastAsia="等线" w:cs="Arial"/>
          <w:sz w:val="22"/>
        </w:rPr>
        <w:br w:type="textWrapping"/>
      </w:r>
      <w:r>
        <w:rPr>
          <w:rFonts w:ascii="Arial" w:hAnsi="Arial" w:eastAsia="等线" w:cs="Arial"/>
          <w:sz w:val="22"/>
        </w:rPr>
        <w:t>Kubernetes Pod 状态检查：</w:t>
      </w:r>
      <w:r>
        <w:rPr>
          <w:rFonts w:ascii="Consolas" w:hAnsi="Consolas" w:eastAsia="Consolas" w:cs="Consolas"/>
          <w:sz w:val="22"/>
          <w:shd w:val="clear" w:fill="EFF0F1"/>
        </w:rPr>
        <w:t>kubectl get pods --all-namespaces | grep -v Running</w:t>
      </w:r>
      <w:r>
        <w:rPr>
          <w:rFonts w:ascii="Arial" w:hAnsi="Arial" w:eastAsia="等线" w:cs="Arial"/>
          <w:sz w:val="22"/>
        </w:rPr>
        <w:br w:type="textWrapping"/>
      </w:r>
      <w:r>
        <w:rPr>
          <w:rFonts w:ascii="Arial" w:hAnsi="Arial" w:eastAsia="等线" w:cs="Arial"/>
          <w:sz w:val="22"/>
        </w:rPr>
        <w:t>GPU 状态检查：</w:t>
      </w:r>
      <w:r>
        <w:rPr>
          <w:rFonts w:ascii="Consolas" w:hAnsi="Consolas" w:eastAsia="Consolas" w:cs="Consolas"/>
          <w:sz w:val="22"/>
          <w:shd w:val="clear" w:fill="EFF0F1"/>
        </w:rPr>
        <w:t>nvidia-smi</w:t>
      </w:r>
      <w:r>
        <w:rPr>
          <w:rFonts w:ascii="Arial" w:hAnsi="Arial" w:eastAsia="等线" w:cs="Arial"/>
          <w:sz w:val="22"/>
        </w:rPr>
        <w:br w:type="textWrapping"/>
      </w:r>
      <w:r>
        <w:rPr>
          <w:rFonts w:ascii="Arial" w:hAnsi="Arial" w:eastAsia="等线" w:cs="Arial"/>
          <w:sz w:val="22"/>
        </w:rPr>
        <w:t>NCCL 通信测试：</w:t>
      </w:r>
      <w:r>
        <w:rPr>
          <w:rFonts w:ascii="Consolas" w:hAnsi="Consolas" w:eastAsia="Consolas" w:cs="Consolas"/>
          <w:sz w:val="22"/>
          <w:shd w:val="clear" w:fill="EFF0F1"/>
        </w:rPr>
        <w:t>mpirun -np 8 ./all_reduce_perf -b 8 -e 128M -f 2 -g 1</w:t>
      </w:r>
      <w:r>
        <w:rPr>
          <w:rFonts w:ascii="Arial" w:hAnsi="Arial" w:eastAsia="等线" w:cs="Arial"/>
          <w:sz w:val="22"/>
        </w:rPr>
        <w:br w:type="textWrapping"/>
      </w:r>
      <w:r>
        <w:rPr>
          <w:rFonts w:ascii="Arial" w:hAnsi="Arial" w:eastAsia="等线" w:cs="Arial"/>
          <w:sz w:val="22"/>
        </w:rPr>
        <w:t>vLLM 服务重启：</w:t>
      </w:r>
      <w:r>
        <w:rPr>
          <w:rFonts w:ascii="Consolas" w:hAnsi="Consolas" w:eastAsia="Consolas" w:cs="Consolas"/>
          <w:sz w:val="22"/>
          <w:shd w:val="clear" w:fill="EFF0F1"/>
        </w:rPr>
        <w:t>kubectl rollout restart deployment vllm-service</w:t>
      </w:r>
      <w:r>
        <w:rPr>
          <w:rFonts w:ascii="Arial" w:hAnsi="Arial" w:eastAsia="等线" w:cs="Arial"/>
          <w:sz w:val="22"/>
        </w:rPr>
        <w:br w:type="textWrapping"/>
      </w:r>
      <w:r>
        <w:rPr>
          <w:rFonts w:ascii="Arial" w:hAnsi="Arial" w:eastAsia="等线" w:cs="Arial"/>
          <w:sz w:val="22"/>
        </w:rPr>
        <w:t>Triton 服务重启：</w:t>
      </w:r>
      <w:r>
        <w:rPr>
          <w:rFonts w:ascii="Consolas" w:hAnsi="Consolas" w:eastAsia="Consolas" w:cs="Consolas"/>
          <w:sz w:val="22"/>
          <w:shd w:val="clear" w:fill="EFF0F1"/>
        </w:rPr>
        <w:t>kubectl rollout restart deployment triton-service</w:t>
      </w:r>
    </w:p>
    <w:p w14:paraId="67609333">
      <w:pPr>
        <w:spacing w:before="300" w:after="120" w:line="288" w:lineRule="auto"/>
        <w:ind w:left="0"/>
        <w:jc w:val="left"/>
        <w:outlineLvl w:val="2"/>
      </w:pPr>
      <w:bookmarkStart w:id="16" w:name="heading_16"/>
      <w:r>
        <w:rPr>
          <w:rFonts w:ascii="Arial" w:hAnsi="Arial" w:eastAsia="等线" w:cs="Arial"/>
          <w:b/>
          <w:sz w:val="30"/>
        </w:rPr>
        <w:t>参考资料</w:t>
      </w:r>
      <w:bookmarkEnd w:id="16"/>
    </w:p>
    <w:p w14:paraId="205033A8">
      <w:pPr>
        <w:numPr>
          <w:ilvl w:val="0"/>
          <w:numId w:val="10"/>
        </w:numPr>
        <w:spacing w:before="120" w:after="120" w:line="288" w:lineRule="auto"/>
        <w:ind w:left="0"/>
        <w:jc w:val="left"/>
      </w:pPr>
      <w:r>
        <w:rPr>
          <w:rFonts w:ascii="Arial" w:hAnsi="Arial" w:eastAsia="等线" w:cs="Arial"/>
          <w:sz w:val="22"/>
        </w:rPr>
        <w:t>Kubernetes 灾难恢复指南：</w:t>
      </w:r>
      <w:r>
        <w:fldChar w:fldCharType="begin"/>
      </w:r>
      <w:r>
        <w:instrText xml:space="preserve"> HYPERLINK "https://kubernetes.io/docs/tasks/administer-cluster/configure-upgrade-etcd/#backing-up-an-etcd-cluster" \h </w:instrText>
      </w:r>
      <w:r>
        <w:fldChar w:fldCharType="separate"/>
      </w:r>
      <w:r>
        <w:rPr>
          <w:rFonts w:ascii="Arial" w:hAnsi="Arial" w:eastAsia="等线" w:cs="Arial"/>
          <w:color w:val="3370FF"/>
          <w:sz w:val="22"/>
        </w:rPr>
        <w:t>https://kubernetes.io/docs/tasks/administer-cluster/configure-upgrade-etcd/#backing-up-an-etcd-cluster</w:t>
      </w:r>
      <w:r>
        <w:rPr>
          <w:rFonts w:ascii="Arial" w:hAnsi="Arial" w:eastAsia="等线" w:cs="Arial"/>
          <w:color w:val="3370FF"/>
          <w:sz w:val="22"/>
        </w:rPr>
        <w:fldChar w:fldCharType="end"/>
      </w:r>
    </w:p>
    <w:p w14:paraId="3761ECEA">
      <w:pPr>
        <w:numPr>
          <w:ilvl w:val="0"/>
          <w:numId w:val="11"/>
        </w:numPr>
        <w:spacing w:before="120" w:after="120" w:line="288" w:lineRule="auto"/>
        <w:ind w:left="0"/>
        <w:jc w:val="left"/>
      </w:pPr>
      <w:r>
        <w:rPr>
          <w:rFonts w:ascii="Arial" w:hAnsi="Arial" w:eastAsia="等线" w:cs="Arial"/>
          <w:sz w:val="22"/>
        </w:rPr>
        <w:t>NVIDIA GPU 集群故障恢复最佳实践：</w:t>
      </w:r>
      <w:r>
        <w:fldChar w:fldCharType="begin"/>
      </w:r>
      <w:r>
        <w:instrText xml:space="preserve"> HYPERLINK "https://docs.nvidia.com/datacenter/cloud-native/gpu-operator/latest/troubleshooting.html" \h </w:instrText>
      </w:r>
      <w:r>
        <w:fldChar w:fldCharType="separate"/>
      </w:r>
      <w:r>
        <w:rPr>
          <w:rFonts w:ascii="Arial" w:hAnsi="Arial" w:eastAsia="等线" w:cs="Arial"/>
          <w:color w:val="3370FF"/>
          <w:sz w:val="22"/>
        </w:rPr>
        <w:t>https://docs.nvidia.com/datacenter/cloud-native/gpu-operator/latest/troubleshooting.html</w:t>
      </w:r>
      <w:r>
        <w:rPr>
          <w:rFonts w:ascii="Arial" w:hAnsi="Arial" w:eastAsia="等线" w:cs="Arial"/>
          <w:color w:val="3370FF"/>
          <w:sz w:val="22"/>
        </w:rPr>
        <w:fldChar w:fldCharType="end"/>
      </w:r>
    </w:p>
    <w:p w14:paraId="1567364D">
      <w:pPr>
        <w:numPr>
          <w:ilvl w:val="0"/>
          <w:numId w:val="12"/>
        </w:numPr>
        <w:spacing w:before="120" w:after="120" w:line="288" w:lineRule="auto"/>
        <w:ind w:left="0"/>
        <w:jc w:val="left"/>
      </w:pPr>
      <w:r>
        <w:rPr>
          <w:rFonts w:ascii="Arial" w:hAnsi="Arial" w:eastAsia="等线" w:cs="Arial"/>
          <w:sz w:val="22"/>
        </w:rPr>
        <w:t>信息安全技术 信息安全事件管理指南：GB/T 20985-2020</w:t>
      </w:r>
    </w:p>
    <w:p w14:paraId="4D7B0A1E">
      <w:pPr>
        <w:numPr>
          <w:ilvl w:val="0"/>
          <w:numId w:val="13"/>
        </w:numPr>
        <w:spacing w:before="120" w:after="120" w:line="288" w:lineRule="auto"/>
        <w:ind w:left="0"/>
        <w:jc w:val="left"/>
      </w:pPr>
      <w:r>
        <w:rPr>
          <w:rFonts w:ascii="Arial" w:hAnsi="Arial" w:eastAsia="等线" w:cs="Arial"/>
          <w:sz w:val="22"/>
        </w:rPr>
        <w:t>信息安全技术 灾难恢复服务要求：GB/T 36957-2018</w:t>
      </w:r>
      <w:bookmarkStart w:id="17" w:name="_GoBack"/>
      <w:bookmarkEnd w:id="17"/>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3F0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58D9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5"/>
      <w:numFmt w:val="decimal"/>
      <w:lvlText w:val="%1."/>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8879AEF"/>
    <w:multiLevelType w:val="singleLevel"/>
    <w:tmpl w:val="C8879AEF"/>
    <w:lvl w:ilvl="0" w:tentative="0">
      <w:start w:val="0"/>
      <w:numFmt w:val="bullet"/>
      <w:lvlText w:val="•"/>
      <w:lvlJc w:val="left"/>
      <w:rPr>
        <w:color w:val="3370FF"/>
      </w:rPr>
    </w:lvl>
  </w:abstractNum>
  <w:abstractNum w:abstractNumId="4">
    <w:nsid w:val="CF092B84"/>
    <w:multiLevelType w:val="singleLevel"/>
    <w:tmpl w:val="CF092B84"/>
    <w:lvl w:ilvl="0" w:tentative="0">
      <w:start w:val="2"/>
      <w:numFmt w:val="decimal"/>
      <w:lvlText w:val="%1."/>
      <w:lvlJc w:val="left"/>
      <w:rPr>
        <w:color w:val="3370FF"/>
      </w:rPr>
    </w:lvl>
  </w:abstractNum>
  <w:abstractNum w:abstractNumId="5">
    <w:nsid w:val="0053208E"/>
    <w:multiLevelType w:val="singleLevel"/>
    <w:tmpl w:val="0053208E"/>
    <w:lvl w:ilvl="0" w:tentative="0">
      <w:start w:val="1"/>
      <w:numFmt w:val="decimal"/>
      <w:lvlText w:val="%1."/>
      <w:lvlJc w:val="left"/>
      <w:rPr>
        <w:color w:val="3370FF"/>
      </w:rPr>
    </w:lvl>
  </w:abstractNum>
  <w:abstractNum w:abstractNumId="6">
    <w:nsid w:val="0248C179"/>
    <w:multiLevelType w:val="singleLevel"/>
    <w:tmpl w:val="0248C179"/>
    <w:lvl w:ilvl="0" w:tentative="0">
      <w:start w:val="9"/>
      <w:numFmt w:val="decimal"/>
      <w:lvlText w:val="%1."/>
      <w:lvlJc w:val="left"/>
      <w:rPr>
        <w:color w:val="3370FF"/>
      </w:rPr>
    </w:lvl>
  </w:abstractNum>
  <w:abstractNum w:abstractNumId="7">
    <w:nsid w:val="03D62ECE"/>
    <w:multiLevelType w:val="singleLevel"/>
    <w:tmpl w:val="03D62ECE"/>
    <w:lvl w:ilvl="0" w:tentative="0">
      <w:start w:val="6"/>
      <w:numFmt w:val="decimal"/>
      <w:lvlText w:val="%1."/>
      <w:lvlJc w:val="left"/>
      <w:rPr>
        <w:color w:val="3370FF"/>
      </w:rPr>
    </w:lvl>
  </w:abstractNum>
  <w:abstractNum w:abstractNumId="8">
    <w:nsid w:val="25B654F3"/>
    <w:multiLevelType w:val="singleLevel"/>
    <w:tmpl w:val="25B654F3"/>
    <w:lvl w:ilvl="0" w:tentative="0">
      <w:start w:val="7"/>
      <w:numFmt w:val="decimal"/>
      <w:lvlText w:val="%1."/>
      <w:lvlJc w:val="left"/>
      <w:rPr>
        <w:color w:val="3370FF"/>
      </w:rPr>
    </w:lvl>
  </w:abstractNum>
  <w:abstractNum w:abstractNumId="9">
    <w:nsid w:val="2A8F537B"/>
    <w:multiLevelType w:val="singleLevel"/>
    <w:tmpl w:val="2A8F537B"/>
    <w:lvl w:ilvl="0" w:tentative="0">
      <w:start w:val="0"/>
      <w:numFmt w:val="bullet"/>
      <w:lvlText w:val="•"/>
      <w:lvlJc w:val="left"/>
      <w:rPr>
        <w:color w:val="3370FF"/>
      </w:rPr>
    </w:lvl>
  </w:abstractNum>
  <w:abstractNum w:abstractNumId="10">
    <w:nsid w:val="59ADCABA"/>
    <w:multiLevelType w:val="singleLevel"/>
    <w:tmpl w:val="59ADCABA"/>
    <w:lvl w:ilvl="0" w:tentative="0">
      <w:start w:val="3"/>
      <w:numFmt w:val="decimal"/>
      <w:lvlText w:val="%1."/>
      <w:lvlJc w:val="left"/>
      <w:rPr>
        <w:color w:val="3370FF"/>
      </w:rPr>
    </w:lvl>
  </w:abstractNum>
  <w:abstractNum w:abstractNumId="11">
    <w:nsid w:val="5A241D34"/>
    <w:multiLevelType w:val="singleLevel"/>
    <w:tmpl w:val="5A241D34"/>
    <w:lvl w:ilvl="0" w:tentative="0">
      <w:start w:val="0"/>
      <w:numFmt w:val="bullet"/>
      <w:lvlText w:val="•"/>
      <w:lvlJc w:val="left"/>
      <w:rPr>
        <w:color w:val="3370FF"/>
      </w:rPr>
    </w:lvl>
  </w:abstractNum>
  <w:abstractNum w:abstractNumId="12">
    <w:nsid w:val="72183CF9"/>
    <w:multiLevelType w:val="singleLevel"/>
    <w:tmpl w:val="72183CF9"/>
    <w:lvl w:ilvl="0" w:tentative="0">
      <w:start w:val="8"/>
      <w:numFmt w:val="decimal"/>
      <w:lvlText w:val="%1."/>
      <w:lvlJc w:val="left"/>
      <w:rPr>
        <w:color w:val="3370FF"/>
      </w:rPr>
    </w:lvl>
  </w:abstractNum>
  <w:num w:numId="1">
    <w:abstractNumId w:val="5"/>
  </w:num>
  <w:num w:numId="2">
    <w:abstractNumId w:val="4"/>
  </w:num>
  <w:num w:numId="3">
    <w:abstractNumId w:val="10"/>
  </w:num>
  <w:num w:numId="4">
    <w:abstractNumId w:val="2"/>
  </w:num>
  <w:num w:numId="5">
    <w:abstractNumId w:val="1"/>
  </w:num>
  <w:num w:numId="6">
    <w:abstractNumId w:val="7"/>
  </w:num>
  <w:num w:numId="7">
    <w:abstractNumId w:val="8"/>
  </w:num>
  <w:num w:numId="8">
    <w:abstractNumId w:val="12"/>
  </w:num>
  <w:num w:numId="9">
    <w:abstractNumId w:val="6"/>
  </w:num>
  <w:num w:numId="10">
    <w:abstractNumId w:val="0"/>
  </w:num>
  <w:num w:numId="11">
    <w:abstractNumId w:val="9"/>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48B348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7399</Words>
  <Characters>8918</Characters>
  <TotalTime>0</TotalTime>
  <ScaleCrop>false</ScaleCrop>
  <LinksUpToDate>false</LinksUpToDate>
  <CharactersWithSpaces>9261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2026-05-04T13:37:00Z</dcterms:created>
  <dc:creator>Apache POI</dc:creator>
  <cp:lastModifiedBy>百事可乐</cp:lastModifiedBy>
  <dcterms:modified xsi:type="dcterms:W3CDTF">2026-05-04T13:56:49Z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eyJoZGlkIjoiNWQ3MTEyZGI2ZWU5YTA1MjhkN2UwNmUxN2ZmNWRlZmEiLCJ1c2VySWQiOiIxMTIzMjM0ODc3In0=</vt:lpwstr>
  </property>
  <property fmtid="{D5CDD505-2E9C-101B-9397-08002B2CF9AE}" pid="3" name="KSOProductBuildVer">
    <vt:lpwstr>2052-12.1.0.25865</vt:lpwstr>
  </property>
  <property fmtid="{D5CDD505-2E9C-101B-9397-08002B2CF9AE}" pid="4" name="ICV">
    <vt:lpwstr>5373F865AC9A486F94E479168B10E95C_12</vt:lpwstr>
  </property>
</Properties>
</file>