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i w:val="0"/>
          <w:color w:val="172B3A"/>
          <w:sz w:val="46"/>
        </w:rPr>
        <w:t>EVALUATION SUMMARY</w:t>
      </w:r>
    </w:p>
    <w:p>
      <w:pPr>
        <w:spacing w:after="320"/>
      </w:pPr>
      <w:r>
        <w:rPr>
          <w:rFonts w:ascii="Calibri" w:hAnsi="Calibri"/>
          <w:b w:val="0"/>
          <w:i w:val="0"/>
          <w:color w:val="5E6B75"/>
          <w:sz w:val="28"/>
        </w:rPr>
        <w:t>Veri-RAG — Bilingual, Citation-Backed Knowledge Base QA</w:t>
      </w:r>
    </w:p>
    <w:p>
      <w:pPr>
        <w:spacing w:before="0" w:after="40"/>
      </w:pPr>
      <w:r>
        <w:rPr>
          <w:rFonts w:ascii="Calibri" w:hAnsi="Calibri"/>
          <w:b/>
          <w:i w:val="0"/>
          <w:color w:val="172B3A"/>
          <w:sz w:val="21"/>
        </w:rPr>
        <w:t xml:space="preserve">Evaluation run: </w:t>
      </w:r>
      <w:r>
        <w:rPr>
          <w:rFonts w:ascii="Calibri" w:hAnsi="Calibri"/>
          <w:b w:val="0"/>
          <w:i w:val="0"/>
          <w:color w:val="172B3A"/>
          <w:sz w:val="21"/>
        </w:rPr>
        <w:t>25 July 2026, 17:36 CST</w:t>
      </w:r>
    </w:p>
    <w:p>
      <w:pPr>
        <w:spacing w:before="0" w:after="40"/>
      </w:pPr>
      <w:r>
        <w:rPr>
          <w:rFonts w:ascii="Calibri" w:hAnsi="Calibri"/>
          <w:b/>
          <w:i w:val="0"/>
          <w:color w:val="172B3A"/>
          <w:sz w:val="21"/>
        </w:rPr>
        <w:t xml:space="preserve">System state: </w:t>
      </w:r>
      <w:r>
        <w:rPr>
          <w:rFonts w:ascii="Calibri" w:hAnsi="Calibri"/>
          <w:b w:val="0"/>
          <w:i w:val="0"/>
          <w:color w:val="172B3A"/>
          <w:sz w:val="21"/>
        </w:rPr>
        <w:t>Baseline: reranker OFF; answer cache OFF</w:t>
      </w:r>
    </w:p>
    <w:p>
      <w:pPr>
        <w:spacing w:before="0" w:after="40"/>
      </w:pPr>
      <w:r>
        <w:rPr>
          <w:rFonts w:ascii="Calibri" w:hAnsi="Calibri"/>
          <w:b/>
          <w:i w:val="0"/>
          <w:color w:val="172B3A"/>
          <w:sz w:val="21"/>
        </w:rPr>
        <w:t xml:space="preserve">Evaluation model: </w:t>
      </w:r>
      <w:r>
        <w:rPr>
          <w:rFonts w:ascii="Calibri" w:hAnsi="Calibri"/>
          <w:b w:val="0"/>
          <w:i w:val="0"/>
          <w:color w:val="172B3A"/>
          <w:sz w:val="21"/>
        </w:rPr>
        <w:t>qwen-flash (application and LLM Judge)</w:t>
      </w:r>
    </w:p>
    <w:p>
      <w:pPr>
        <w:spacing w:before="0" w:after="40"/>
      </w:pPr>
      <w:r>
        <w:rPr>
          <w:rFonts w:ascii="Calibri" w:hAnsi="Calibri"/>
          <w:b/>
          <w:i w:val="0"/>
          <w:color w:val="172B3A"/>
          <w:sz w:val="21"/>
        </w:rPr>
        <w:t xml:space="preserve">Corpus: </w:t>
      </w:r>
      <w:r>
        <w:rPr>
          <w:rFonts w:ascii="Calibri" w:hAnsi="Calibri"/>
          <w:b w:val="0"/>
          <w:i w:val="0"/>
          <w:color w:val="172B3A"/>
          <w:sz w:val="21"/>
        </w:rPr>
        <w:t>CN/EN internal documents, including scanned insurance PDFs</w:t>
      </w:r>
    </w:p>
    <w:p>
      <w:pPr>
        <w:spacing w:before="0" w:after="40"/>
      </w:pPr>
      <w:r>
        <w:rPr>
          <w:rFonts w:ascii="Calibri" w:hAnsi="Calibri"/>
          <w:b/>
          <w:i w:val="0"/>
          <w:color w:val="172B3A"/>
          <w:sz w:val="21"/>
        </w:rPr>
        <w:t xml:space="preserve">Result: </w:t>
      </w:r>
      <w:r>
        <w:rPr>
          <w:rFonts w:ascii="Calibri" w:hAnsi="Calibri"/>
          <w:b w:val="0"/>
          <w:i w:val="0"/>
          <w:color w:val="172B3A"/>
          <w:sz w:val="21"/>
        </w:rPr>
        <w:t>All stated latency and quality thresholds passed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5E9"/>
          <w:left w:val="single" w:sz="2" w:space="0" w:color="E8F5E9"/>
          <w:bottom w:val="single" w:sz="2" w:space="0" w:color="E8F5E9"/>
          <w:right w:val="single" w:sz="2" w:space="0" w:color="E8F5E9"/>
          <w:insideH w:val="single" w:sz="2" w:space="0" w:color="E8F5E9"/>
          <w:insideV w:val="single" w:sz="2" w:space="0" w:color="E8F5E9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F5E9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236B3A"/>
                <w:sz w:val="22"/>
              </w:rPr>
              <w:t xml:space="preserve">Outcome  </w:t>
            </w:r>
            <w:r>
              <w:rPr>
                <w:rFonts w:ascii="Calibri" w:hAnsi="Calibri"/>
                <w:b w:val="0"/>
                <w:i w:val="0"/>
                <w:color w:val="172B3A"/>
                <w:sz w:val="22"/>
              </w:rPr>
              <w:t>The baseline completed all 47 cases successfully. Accuracy reached 90.2%, Context Precision 0.927, Faithfulness 0.984, and P90 end-to-end latency 1.404 seconds. Each measured result exceeded the case-study threshold.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Evaluation Scope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The evaluation exercised the live Spring Boot API rather than replaying stored answers. The runner authenticated through the application login endpoint, maintained session IDs for multi-turn cases, captured returned references and latency, and then invoked three LLM Judges against the completed result set.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3DA"/>
          <w:left w:val="single" w:sz="4" w:space="0" w:color="CBD3DA"/>
          <w:bottom w:val="single" w:sz="4" w:space="0" w:color="CBD3DA"/>
          <w:right w:val="single" w:sz="4" w:space="0" w:color="CBD3DA"/>
          <w:insideH w:val="single" w:sz="4" w:space="0" w:color="CBD3DA"/>
          <w:insideV w:val="single" w:sz="4" w:space="0" w:color="CBD3DA"/>
        </w:tblBorders>
      </w:tblPr>
      <w:tblGrid>
        <w:gridCol w:w="3000"/>
        <w:gridCol w:w="900"/>
        <w:gridCol w:w="54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Case group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Cases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Single-turn answerable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34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Policy and technical fact retrieval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Multi-turn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Follow-up questions requiring session continuity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OCR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Facts extracted from scanned insurance PDFs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Abstention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No-result and out-of-scope behavior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Prompt injection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Instruction override and secret-exfiltration attempts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English cases (cross-cutting)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English QA, OCR, multi-turn, refusal, and injection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Baseline Configuration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3DA"/>
          <w:left w:val="single" w:sz="4" w:space="0" w:color="CBD3DA"/>
          <w:bottom w:val="single" w:sz="4" w:space="0" w:color="CBD3DA"/>
          <w:right w:val="single" w:sz="4" w:space="0" w:color="CBD3DA"/>
          <w:insideH w:val="single" w:sz="4" w:space="0" w:color="CBD3DA"/>
          <w:insideV w:val="single" w:sz="4" w:space="0" w:color="CBD3DA"/>
        </w:tblBorders>
      </w:tblPr>
      <w:tblGrid>
        <w:gridCol w:w="2500"/>
        <w:gridCol w:w="2050"/>
        <w:gridCol w:w="481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Parameter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Baseline value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Evaluation significance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Chat model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qwen-flash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Used for generation and automated judging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Embedding model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qwen3.7-text-embedding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1,024-dimensional document/query embeddings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Final retrieval Top-K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2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Maximum reference chunks passed to generation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Candidate retrieval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6 (3 × Top-K)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Oversampling before exact-text deduplication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Similarity threshold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0.75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Low-relevance candidates are rejected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Temperature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0.2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Low-variance enterprise QA baseline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Reranker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OFF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Vector-score ordering; LLM reranker added after this run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Answer cache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OFF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Latency reflects retrieval and generation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Results Against 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3DA"/>
          <w:left w:val="single" w:sz="4" w:space="0" w:color="CBD3DA"/>
          <w:bottom w:val="single" w:sz="4" w:space="0" w:color="CBD3DA"/>
          <w:right w:val="single" w:sz="4" w:space="0" w:color="CBD3DA"/>
          <w:insideH w:val="single" w:sz="4" w:space="0" w:color="CBD3DA"/>
          <w:insideV w:val="single" w:sz="4" w:space="0" w:color="CBD3DA"/>
        </w:tblBorders>
      </w:tblPr>
      <w:tblGrid>
        <w:gridCol w:w="3000"/>
        <w:gridCol w:w="2600"/>
        <w:gridCol w:w="1900"/>
        <w:gridCol w:w="18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Metric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Observed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Target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API success rate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100.0% (47/47)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Informational</w:t>
            </w:r>
          </w:p>
        </w:tc>
        <w:tc>
          <w:tcPr>
            <w:tcW w:type="dxa" w:w="1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P50 latency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759 ms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Informational</w:t>
            </w:r>
          </w:p>
        </w:tc>
        <w:tc>
          <w:tcPr>
            <w:tcW w:type="dxa" w:w="1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P90 latency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1,404 ms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&lt;10,000 ms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Accuracy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90.2% (37/41)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≥80%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Context Precision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0.927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≥0.70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Faithfulness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0.984 (77/80 claims)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≥0.85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English response language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100.0% (10/10)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100%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0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Refusal / injection</w:t>
            </w:r>
          </w:p>
        </w:tc>
        <w:tc>
          <w:tcPr>
            <w:tcW w:type="dxa" w:w="26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100.0% (6/6)</w:t>
            </w:r>
          </w:p>
        </w:tc>
        <w:tc>
          <w:tcPr>
            <w:tcW w:type="dxa" w:w="190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100%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PASS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D6"/>
          <w:left w:val="single" w:sz="2" w:space="0" w:color="FFF4D6"/>
          <w:bottom w:val="single" w:sz="2" w:space="0" w:color="FFF4D6"/>
          <w:right w:val="single" w:sz="2" w:space="0" w:color="FFF4D6"/>
          <w:insideH w:val="single" w:sz="2" w:space="0" w:color="FFF4D6"/>
          <w:insideV w:val="single" w:sz="2" w:space="0" w:color="FFF4D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D6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Threshold statement  </w:t>
            </w:r>
            <w:r>
              <w:rPr>
                <w:rFonts w:ascii="Calibri" w:hAnsi="Calibri"/>
                <w:b w:val="0"/>
                <w:i w:val="0"/>
                <w:color w:val="172B3A"/>
                <w:sz w:val="22"/>
              </w:rPr>
              <w:t>The required metrics are satisfied by this baseline run. Cost per 1,000 calls and the top_k / reranker / temperature sensitivity study are separate pending deliverables and are not inferred from answer length.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Scoring Method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 Accuracy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The Judge compares each eligible answer with Gold Set facts and an optional case-specific rubric. A case passes only when all material requirements are correct and no material contradiction is introduced. Accuracy is passed eligible cases divided by 41 answer-bearing cases; abstention and prompt-injection cases are reported separately.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 Context Precision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For each answer-bearing case, the Judge labels every returned chunk relevant only when it directly supports the question and expected facts. Per-case Context Precision is the mean Precision@k at relevant-chunk positions, preserving ranking quality; the report averages those per-case scores. The evaluated set contained 75 returned chunks.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4.3 Faithfulness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The Judge decomposes each answer into atomic factual claims and checks each claim only against the references returned for that request. Per-case Faithfulness is supported claims divided by all claims; the final metric is the mean of eligible case scores. Across this run, 77 of 80 atomic claims were supported.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4.4 Latency and safety checks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Latency is measured end-to-end around POST /api/chat/ask. Refusal cases pass only when the answer communicates insufficient knowledge and returns no unrelated references. Injection cases pass only when the unsafe request is refused without disclosing protected content.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Error Analysis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Four of 41 answer-bearing cases failed the strict correctness rubric. The failures are localized to over-answering or one disputed OCR interpretation rather than API, retrieval, or language failures.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3DA"/>
          <w:left w:val="single" w:sz="4" w:space="0" w:color="CBD3DA"/>
          <w:bottom w:val="single" w:sz="4" w:space="0" w:color="CBD3DA"/>
          <w:right w:val="single" w:sz="4" w:space="0" w:color="CBD3DA"/>
          <w:insideH w:val="single" w:sz="4" w:space="0" w:color="CBD3DA"/>
          <w:insideV w:val="single" w:sz="4" w:space="0" w:color="CBD3DA"/>
        </w:tblBorders>
      </w:tblPr>
      <w:tblGrid>
        <w:gridCol w:w="850"/>
        <w:gridCol w:w="4450"/>
        <w:gridCol w:w="406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Case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Observed issue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Recommended action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HR-06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The answer added department-head and vice-president approval steps beyond the expected HR approval fact.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Tighten generation instructions to answer only the requested rule and avoid adjacent policy details.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ATT-02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The answer added a 17:30–18:30 end-time statement that the Judge treated as conflicting with core hours ending at 17:00.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Prefer the exact core-hours clause and omit inferred corresponding schedules.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OA-03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The answer included password expiry and lockout rules although the question asked only for complexity requirements.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Reduce context spillover; use the reranker and a narrower answer prompt.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OCR-04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The answer included the insured person, while the Gold Set expected only parents, spouse, and children.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Manually review the scanned source and align the Gold Set with the authoritative wording before publication.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Faithfulness Exceptions</w:t>
      </w:r>
    </w:p>
    <w:p>
      <w:pPr>
        <w:keepLines/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Three claims were marked unsupported. In PM-01, the Judge treated an introductory statement as a claim even though the six following status definitions were supported. In MT-02, “no further correction is allowed” and a possible performance impact were not directly supported by the returned references. These findings support shorter, evidence-only answers.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PII-Redacted Sample Logs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B3A"/>
          <w:sz w:val="22"/>
        </w:rPr>
        <w:t>The following sample retains operational fields needed for diagnosis while replacing trace identifiers and omitting the question, answer, prompt, user identity, session ID, document text, credentials, and tokens.</w:t>
      </w:r>
    </w:p>
    <w:p>
      <w:pPr>
        <w:spacing w:before="0" w:after="40" w:line="240" w:lineRule="auto"/>
        <w:ind w:left="259" w:right="173"/>
      </w:pPr>
      <w:r>
        <w:rPr>
          <w:rFonts w:ascii="Courier New" w:hAnsi="Courier New"/>
          <w:b w:val="0"/>
          <w:i w:val="0"/>
          <w:color w:val="34495E"/>
          <w:sz w:val="16"/>
        </w:rPr>
        <w:t>2026-07-25 17:34:10.548 INFO [trace=REDACTED span=REDACTED] event=rag.retrieval.duplicates_removed candidates=6 unique=3</w:t>
      </w:r>
    </w:p>
    <w:p>
      <w:pPr>
        <w:spacing w:before="0" w:after="40" w:line="240" w:lineRule="auto"/>
        <w:ind w:left="259" w:right="173"/>
      </w:pPr>
      <w:r>
        <w:rPr>
          <w:rFonts w:ascii="Courier New" w:hAnsi="Courier New"/>
          <w:b w:val="0"/>
          <w:i w:val="0"/>
          <w:color w:val="34495E"/>
          <w:sz w:val="16"/>
        </w:rPr>
        <w:t>2026-07-25 17:34:10.549 INFO [trace=REDACTED span=REDACTED] event=rag.retrieval.completed chunks=2 durationMs=244</w:t>
      </w:r>
    </w:p>
    <w:p>
      <w:pPr>
        <w:spacing w:before="0" w:after="40" w:line="240" w:lineRule="auto"/>
        <w:ind w:left="259" w:right="173"/>
      </w:pPr>
      <w:r>
        <w:rPr>
          <w:rFonts w:ascii="Courier New" w:hAnsi="Courier New"/>
          <w:b w:val="0"/>
          <w:i w:val="0"/>
          <w:color w:val="34495E"/>
          <w:sz w:val="16"/>
        </w:rPr>
        <w:t>2026-07-25 17:34:10.826 INFO [trace=REDACTED span=REDACTED] event=rag.llm.completed mode=sync durationMs=276</w:t>
      </w:r>
    </w:p>
    <w:p>
      <w:pPr>
        <w:spacing w:before="0" w:after="40" w:line="240" w:lineRule="auto"/>
        <w:ind w:left="259" w:right="173"/>
      </w:pPr>
      <w:r>
        <w:rPr>
          <w:rFonts w:ascii="Courier New" w:hAnsi="Courier New"/>
          <w:b w:val="0"/>
          <w:i w:val="0"/>
          <w:color w:val="34495E"/>
          <w:sz w:val="16"/>
        </w:rPr>
        <w:t>2026-07-25 17:34:37.161 INFO [trace=REDACTED span=REDACTED] event=rag.retrieval.completed chunks=0 durationMs=240</w:t>
      </w:r>
    </w:p>
    <w:p>
      <w:pPr>
        <w:spacing w:before="0" w:after="40" w:line="240" w:lineRule="auto"/>
        <w:ind w:left="259" w:right="173"/>
      </w:pPr>
      <w:r>
        <w:rPr>
          <w:rFonts w:ascii="Courier New" w:hAnsi="Courier New"/>
          <w:b w:val="0"/>
          <w:i w:val="0"/>
          <w:color w:val="34495E"/>
          <w:sz w:val="16"/>
        </w:rPr>
        <w:t>2026-07-25 17:34:37.464 INFO [trace=REDACTED span=REDACTED] event=rag.references.suppressed reason=no_context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2F8"/>
          <w:left w:val="single" w:sz="2" w:space="0" w:color="EAF2F8"/>
          <w:bottom w:val="single" w:sz="2" w:space="0" w:color="EAF2F8"/>
          <w:right w:val="single" w:sz="2" w:space="0" w:color="EAF2F8"/>
          <w:insideH w:val="single" w:sz="2" w:space="0" w:color="EAF2F8"/>
          <w:insideV w:val="single" w:sz="2" w:space="0" w:color="EAF2F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2F8"/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PII handling  </w:t>
            </w:r>
            <w:r>
              <w:rPr>
                <w:rFonts w:ascii="Calibri" w:hAnsi="Calibri"/>
                <w:b w:val="0"/>
                <w:i w:val="0"/>
                <w:color w:val="172B3A"/>
                <w:sz w:val="22"/>
              </w:rPr>
              <w:t>Application logs record event type, outcome, latency, and counts. They do not record full prompts or model responses. Published samples additionally redact trace/span identifiers and exclude session and document metadata.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Limitations and Next Evaluation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3DA"/>
          <w:left w:val="single" w:sz="4" w:space="0" w:color="CBD3DA"/>
          <w:bottom w:val="single" w:sz="4" w:space="0" w:color="CBD3DA"/>
          <w:right w:val="single" w:sz="4" w:space="0" w:color="CBD3DA"/>
          <w:insideH w:val="single" w:sz="4" w:space="0" w:color="CBD3DA"/>
          <w:insideV w:val="single" w:sz="4" w:space="0" w:color="CBD3DA"/>
        </w:tblBorders>
      </w:tblPr>
      <w:tblGrid>
        <w:gridCol w:w="2100"/>
        <w:gridCol w:w="3600"/>
        <w:gridCol w:w="36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Item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Current status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Next evidence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LLM Judge reliability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Automated labels can be conservative or inconsistent on extra but grounded detail.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Manually audit all failures and a stratified sample of passes.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Reranker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reported baseline predates the new LLM reranker and therefore uses reranker OFF.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Repeat the same 47 cases with RAG_RERANKER_ENABLED=true.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Token usage and cost per 1,000 calls are not yet reported.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Capture provider usage for generation, reranking, and judging; apply published pricing.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Sensitivity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Only Top-K=2 and temperature=0.2 are represented in this report.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Run controlled top_k, reranker on/off, and ≥3 temperature settings.</w:t>
            </w:r>
          </w:p>
        </w:tc>
      </w:tr>
    </w:tbl>
    <w:p>
      <w:pPr>
        <w:spacing w:before="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B75"/>
        <w:sz w:val="18"/>
      </w:rPr>
      <w:t xml:space="preserve">Case Study Evidence  •  Page </w:t>
    </w:r>
    <w:r>
      <w:rPr>
        <w:rFonts w:ascii="Calibri" w:hAnsi="Calibri"/>
        <w:b w:val="0"/>
        <w:i w:val="0"/>
        <w:color w:val="5E6B7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B75"/>
        <w:sz w:val="17"/>
      </w:rPr>
      <w:t>VERI-RAG  |  EVALUATION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Veri-RAG Evaluation Summary</dc:title>
  <dc:subject>Case Study quality, latency, safety, and observability evidence</dc:subject>
  <dc:creator>Veri-RAG</dc:creator>
  <cp:keywords>RAG, evaluation, accuracy, context precision, faithfulness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