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员工手册（节选）</w:t>
      </w:r>
    </w:p>
    <w:p>
      <w:pPr>
        <w:pStyle w:val="Heading1"/>
      </w:pPr>
      <w:r>
        <w:t>年假与考勤</w:t>
      </w:r>
    </w:p>
    <w:p>
      <w:r>
        <w:t>入职满 1 年享 5 天年假，满 3 年 10 天，满 5 年 15 天。</w:t>
      </w:r>
    </w:p>
    <w:p>
      <w:r>
        <w:t>年假需提前 3 个工作日申请，当年未休完可顺延至次年 3 月底。</w:t>
      </w:r>
    </w:p>
    <w:p>
      <w:pPr>
        <w:pStyle w:val="Heading1"/>
      </w:pPr>
      <w:r>
        <w:t>差旅报销</w:t>
      </w:r>
    </w:p>
    <w:p>
      <w:r>
        <w:t>出差返岗后 15 个工作日内提交报销单，单次餐饮上限 200 元/天。</w:t>
      </w:r>
    </w:p>
    <w:p>
      <w:r>
        <w:t>跨城市交通建议高铁二等座，机票需提前 7 天预订经济舱。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