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施工组织设计</w:t>
      </w:r>
    </w:p>
    <w:p>
      <w:r>
        <w:t>本工程为某住宅小区项目，总建筑面积约5万平方米。</w:t>
      </w:r>
    </w:p>
    <w:p>
      <w:pPr>
        <w:pStyle w:val="Heading2"/>
      </w:pPr>
      <w:r>
        <w:t>工程概况</w:t>
      </w:r>
    </w:p>
    <w:p>
      <w:r>
        <w:t>项目位于市中心区域，交通便利，周边配套设施完善。</w:t>
      </w:r>
    </w:p>
    <w:p>
      <w:r>
        <w:t>总工期为305天，计划于2025年3月开工。</w:t>
      </w:r>
    </w:p>
    <w:p>
      <w:pPr>
        <w:pStyle w:val="Heading2"/>
      </w:pPr>
      <w:r>
        <w:t>施工部署</w:t>
      </w:r>
    </w:p>
    <w:p>
      <w:r>
        <w:t>采用流水施工方法，分三个施工段进行。</w:t>
      </w:r>
    </w:p>
    <w:p>
      <w:pPr>
        <w:pStyle w:val="Heading3"/>
      </w:pPr>
      <w:r>
        <w:t>施工工艺</w:t>
      </w:r>
    </w:p>
    <w:p>
      <w:r>
        <w:t>基础工程采用PHC管桩施工，主体结构采用现浇混凝土。</w:t>
      </w:r>
    </w:p>
    <w:p>
      <w:pPr>
        <w:pStyle w:val="Heading4"/>
      </w:pPr>
      <w:r>
        <w:t>基础工程</w:t>
      </w:r>
    </w:p>
    <w:p>
      <w:r>
        <w:t>PHC管桩施工工艺流程：测量定位→桩机就位→沉桩→接桩→送桩→终止沉桩。</w:t>
      </w:r>
    </w:p>
    <w:p>
      <w:pPr>
        <w:pStyle w:val="Heading2"/>
      </w:pPr>
      <w:r>
        <w:t>资源计划</w:t>
      </w:r>
    </w:p>
    <w:p>
      <w:r>
        <w:t>项目人力峰值为192人，主要机械设备包括塔吊2台、挖掘机3台。</w:t>
      </w:r>
    </w:p>
    <w:p>
      <w:pPr>
        <w:pStyle w:val="Heading2"/>
      </w:pPr>
      <w:r>
        <w:t>工期计划表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工序</w:t>
            </w:r>
          </w:p>
        </w:tc>
        <w:tc>
          <w:tcPr>
            <w:tcW w:type="dxa" w:w="2880"/>
          </w:tcPr>
          <w:p>
            <w:r>
              <w:t>工期(天)</w:t>
            </w:r>
          </w:p>
        </w:tc>
        <w:tc>
          <w:tcPr>
            <w:tcW w:type="dxa" w:w="2880"/>
          </w:tcPr>
          <w:p>
            <w:r>
              <w:t>开始日期</w:t>
            </w:r>
          </w:p>
        </w:tc>
      </w:tr>
      <w:tr>
        <w:tc>
          <w:tcPr>
            <w:tcW w:type="dxa" w:w="2880"/>
          </w:tcPr>
          <w:p>
            <w:r>
              <w:t>基础工程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2025-03-01</w:t>
            </w:r>
          </w:p>
        </w:tc>
      </w:tr>
      <w:tr>
        <w:tc>
          <w:tcPr>
            <w:tcW w:type="dxa" w:w="2880"/>
          </w:tcPr>
          <w:p>
            <w:r>
              <w:t>主体结构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2025-05-01</w:t>
            </w:r>
          </w:p>
        </w:tc>
      </w:tr>
      <w:tr>
        <w:tc>
          <w:tcPr>
            <w:tcW w:type="dxa" w:w="2880"/>
          </w:tcPr>
          <w:p>
            <w:r>
              <w:t>装饰装修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2025-09-01</w:t>
            </w:r>
          </w:p>
        </w:tc>
      </w:tr>
    </w:tbl>
    <w:p>
      <w:pPr>
        <w:pStyle w:val="Heading2"/>
      </w:pPr>
      <w:r>
        <w:t>风险分析</w:t>
      </w:r>
    </w:p>
    <w:p>
      <w:r>
        <w:t>主要风险包括：雨季施工影响、材料供应延迟、劳动力不足等。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