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and Code Availability</w:t>
      </w:r>
    </w:p>
    <w:p>
      <w:pPr>
        <w:pStyle w:val="Heading2"/>
      </w:pPr>
      <w:r>
        <w:t>Data Availability</w:t>
      </w:r>
    </w:p>
    <w:p>
      <w:pPr>
        <w:jc w:val="both"/>
      </w:pPr>
      <w:r>
        <w:t>All analyzed molecular and genetic resources in this study are publicly available from their original repositories. Dataset accessions, providers, and analysis roles are listed in S1 Table. No new participants or biospecimens were generated for this study. Public raw datasets remain hosted by the original repositories and are not redistributed here. After release freeze, the project release will provide processed Normal Chamber Prior (NCP) framework outputs, figure-level source tables, frozen metadata, formal Supporting Information workbooks (S1–S6 Table), provenance records (including the GCST90624411 GWAS provenance package and the external AF gene-set manifest), and reproducibility materials. Full GWAS summary statistics should be obtained from the GWAS Catalog accession GCST90624411 rather than treated as a manuscript supplement. Dataset-specific analysis units are retained; these resources do not constitute one pooled cohort. No identifiable participant-level dataset is distributed.</w:t>
      </w:r>
    </w:p>
    <w:p>
      <w:pPr>
        <w:pStyle w:val="Heading2"/>
      </w:pPr>
      <w:r>
        <w:t>Code Availability</w:t>
      </w:r>
    </w:p>
    <w:p>
      <w:pPr>
        <w:jc w:val="both"/>
      </w:pPr>
      <w:r>
        <w:t>Analysis code is distributed as the installable Python package acrf (import name crf) at https://github.com/XiaoceDai/acrf. The project release will include analysis scripts together with figure-, table-, and manuscript-generation workflows, QC reports, and SHA256 manifests for frozen outputs. Final archival DOI, release commit, and release tag will be added only after release freeze and are not reported as provisional values here. The exact historical production coloc version could not be recovered from local metadata; the final release environment will record the coloc and Python dependency versions used for reproduction and must not be interpreted as proof of the historical production environment. Output SHA256 hashes will accompany the release for verification.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