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Discussion</w:t>
      </w:r>
    </w:p>
    <w:p>
      <w:pPr>
        <w:jc w:val="both"/>
      </w:pPr>
      <w:r>
        <w:t>This study establishes a chamber-aware coordinate system for comparing atrial fibrillation (AF) remodeling across heterogeneous human datasets. By freezing a healthy LA–RA reference before disease-cohort analysis, the Normal Chamber Prior (NCP) separated baseline chamber identity from disease-associated displacement of that identity. Cross-cohort reproducibility in paired bulk tissue was selective and spanned both sides of the healthy reference: LA-biased translation and ribosome-quality-control families and RA-biased matrix, proteoglycan, and developmental-signaling families were represented among the High-consistency group. LA single-nucleus analysis supplied nominal compartment context for four families, cross-sectional duration analysis supplied a separate chronicity layer, and the prespecified Path A rule prioritized F10 GAG disease / TGF-β and F15 NTRK2 / TrkB across the three transcriptomic evidence layers. GeoMx and genetic analyses added spatial and genetic context but did not enter Path A. Accordingly, the evidence supports a reproducible chamber-aware architecture rather than a single causal mechanism.</w:t>
      </w:r>
    </w:p>
    <w:p>
      <w:pPr>
        <w:jc w:val="both"/>
      </w:pPr>
      <w:r>
        <w:t>Prior human AF studies have repeatedly implicated extracellular-matrix organization, inflammatory and signaling programs, and mitochondrial or metabolic remodeling [5,6,9]. The NCP addresses a complementary problem: these themes are difficult to compare when cohorts differ in chamber sampling or when healthy LA–RA asymmetry is incompletely modeled [11-13]. The aligned family scale also requires a specific interpretation. A negative pooled AF-minus-SR effect indicates displacement opposite to the frozen healthy chamber direction on the aligned scale; it does not imply uniform downregulation of every gene in the family. All six High-consistency pooled effects were negative on this scale, but the High set included both LA-biased translation/ribosome-quality-control families and RA-biased matrix/developmental families. The final bulk results therefore do not support a simple division in which structural families are uniformly reproducible and translational families are uniformly cohort dependent. Instead, they suggest that AF perturbs selected components of both healthy chamber-biased arms, while other mitochondrial and metabolic families remain more variable across cohorts.</w:t>
      </w:r>
    </w:p>
    <w:p>
      <w:pPr>
        <w:jc w:val="both"/>
      </w:pPr>
      <w:r>
        <w:t>The LA single-nucleus layer showed that family-level bulk remodeling does not map uniformly to cell compartments. F10 retained its healthy fibroblast context and was classified as Fidelity; F11 localized to adipocytes and F15 to endothelial cells only, producing Relay patterns; and F16 involved fibroblasts together with atrial cardiomyocytes, producing Extension. These assignments were based on nominal donor-label permutation support in LA and were not FDR-controlled discoveries. They should therefore be interpreted as cellular localization cues, not as validated cell-type mechanisms or an independent replication of bi-chamber remodeling. Conversely, Below-detection indicates that no eligible LA compartment met the preset support rule; it does not imply absence of remodeling, particularly for families whose bulk reference is RA biased. The supplementary F4 BCAA example further shows that a constituent program can retain nominal compartment support while its parent family remains Below-detection, emphasizing that biological resolution depends on the level of aggregation.</w:t>
      </w:r>
    </w:p>
    <w:p>
      <w:pPr>
        <w:jc w:val="both"/>
      </w:pPr>
      <w:r>
        <w:t>The duration and triangulation layers were similarly designed to preserve rather than erase differences in evidence type. Duration associations were estimated in 12 AF-LAA samples and classified by the magnitude of the full-precision cross-sectional Spearman correlation. Only F2 and F9 met the Strong-trend threshold, and regional LAPV direction was not uniform, illustrating that trend magnitude and regional sign agreement are distinct properties. These observations do not establish progression, recurrence risk, treatment response, or temporal causal order. Path A then combined exactly three prespecified binary summaries: High bulk consistency, a non-Below-detection single-nucleus class, and a non-Stable duration class. F10 and F15 met all three conditions, whereas F9 met the bulk and duration conditions without LA single-nucleus localization. Path A is therefore best read as transparent rule-based triage across non-exchangeable layers, not as a joint statistical test or causal-validation criterion.</w:t>
      </w:r>
    </w:p>
    <w:p>
      <w:pPr>
        <w:jc w:val="both"/>
      </w:pPr>
      <w:r>
        <w:t>GeoMx supplied an additional but deliberately separate spatial view. Nominal ROI-level summaries linked F10 with fibroblast-panel scores, F15 with macrophage-panel scores, and F9 with an AF-minus-SR difference. The F10 result is directionally compatible with its fibroblast single-nucleus localization, whereas the F15 macrophage-panel association and endothelial single-nucleus localization arise from different assays, signatures, and analysis units and should not be collapsed into a single cell-type claim. GeoMx family signatures also used an explicit family-gene-union scoring exception rather than the program-first family aggregation used in the primary transcriptomic analyses. Because the eligible data comprised multiple ROIs from each of four patients and no patient-clustered or mixed-effects inference was applied, these findings provide ROI-level spatial context only. They neither validate Path A at patient level nor constitute a fourth gate.</w:t>
      </w:r>
    </w:p>
    <w:p>
      <w:pPr>
        <w:jc w:val="both"/>
      </w:pPr>
      <w:r>
        <w:t>The genetic analyses further illustrate why evidence layers should remain separate. Seven of 12 anchor windows contained local genome-wide AF associations, but only SMAD9 met the corrected atrial eGene criterion and no anchor reached the prespecified PP4 threshold for same-variant colocalization. All anchors were PP3-dominant, and lead AF-GWAS and atrial-eQTL variants were separated by hundreds of kilobases to nearly two megabases. These diagnostics are compatible with distinct local association signals but do not prove that different causal variants underlie the two traits. The failure of PITX2 and KCNN3 calibration controls to meet the same colocalization threshold underscores the conservatism of the available bulk-LAA regulatory setting. Similarly, the external gene-set analysis yielded only sparse CAV1 and HEY2 membership and no family-level enrichment after correction across 64 tests. Together, these results do not support same-variant bulk-LAA total-expression mediation for the tested anchors, but neither do they exclude cell-state-specific regulation, developmental effects, distal or trans mechanisms, rare variation, or other untested genetic routes. The non-nested traceability matrix was intended to expose these distinct forms of evidence without converting them into an ordinal tier, composite score, or genetics-based Path A gate.</w:t>
      </w:r>
    </w:p>
    <w:p>
      <w:pPr>
        <w:jc w:val="both"/>
      </w:pPr>
      <w:r>
        <w:t>Several limitations define the appropriate scope of the framework. The healthy reference comprised eight donors, and frozen pathway definitions may not capture all cohort- or comorbidity-specific biology. Public bulk cohorts differed in platform and clinical context, and bulk chamber contrasts can reflect both within-cell regulation and shifts in cellular composition. The single-nucleus resource was LA only, used nominal localization thresholds, and could not test RA-driven compartment remodeling. Duration analysis was cross-sectional and based on 12 AF-LAA samples. GeoMx included four patients, multiple ROIs per patient, and no clustered inference; its reduced-panel structure also required a gene-union scoring exception. Genetic analyses used bulk atrial-appendage eQTL data rather than cell-state-specific regulatory maps, and exact historical software-environment recovery was incomplete for some dependencies. Finally, Path A depends on prespecified categorical boundaries and should be evaluated prospectively rather than treated as a clinical or mechanistic classifier. The principal contribution of the NCP is therefore methodological: frozen program definitions, donor-paired chamber alignment, program-specific healthy scaling, and explicit evidence-layer boundaries provide a reproducible framework for comparing AF datasets. Prospective paired-atrial studies with matched single-cell, spatial, regulatory, proteomic, metabolic, and perturbational data will be needed to test temporal order and causal mechanisms.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120"/>
    </w:pPr>
    <w:rPr>
      <w:rFonts w:ascii="Times New Roman" w:hAnsi="Times New Roman"/>
      <w:color w:val="10101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1A"/>
      <w:sz w:val="2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rial" w:hAnsi="Arial"/>
      <w:b/>
      <w:bCs/>
      <w:color w:val="1A1A1A"/>
      <w:sz w:val="23"/>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Arial" w:hAnsi="Arial"/>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