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legends</w:t>
      </w:r>
    </w:p>
    <w:p>
      <w:pPr>
        <w:jc w:val="both"/>
      </w:pPr>
      <w:r>
        <w:rPr>
          <w:i/>
          <w:color w:val="666666"/>
          <w:sz w:val="20"/>
        </w:rPr>
        <w:t>All numerical claims in the figure legends below trace to the tab-separated deliverable files released alongside the manuscript (see Code availability). Each legend ends with the pre-registered boundary statement when applicable.</w:t>
      </w:r>
    </w:p>
    <w:p>
      <w:pPr>
        <w:pStyle w:val="Heading2"/>
      </w:pPr>
      <w:r>
        <w:t>Main figures</w:t>
      </w:r>
    </w:p>
    <w:p>
      <w:pPr>
        <w:pStyle w:val="Heading3"/>
      </w:pPr>
      <w:r>
        <w:t>Fig 1. A frozen healthy chamber reference defines the Normal Chamber Prior.</w:t>
      </w:r>
    </w:p>
    <w:p>
      <w:pPr>
        <w:jc w:val="both"/>
      </w:pPr>
      <w:r>
        <w:t>(A) Donor-paired chamber estimand. In paired atrial cohorts, rhythm is assigned at donor level and chamber is measured within donor. Donor-level LA–RA program contrasts are aligned to the frozen healthy chamber direction and scaled by the corresponding healthy reference magnitude to generate the relative aligned chamber asymmetry index used downstream. This panel defines the measurement framework and is not an AF association result.</w:t>
      </w:r>
    </w:p>
    <w:p>
      <w:pPr>
        <w:jc w:val="both"/>
      </w:pPr>
      <w:r>
        <w:t>(B) Healthy-reference calibration in eight healthy donors with paired LA and RA samples from GSE112339. The frozen panel contains 30 programs, of which 22 are LA-biased and eight RA-biased. All 30 programs matched the canonical chamber direction in every donor. Healthy reference magnitude varied across programs (median M = 0.0284; range approximately 0.00940–0.311), motivating program-specific scaling.</w:t>
      </w:r>
    </w:p>
    <w:p>
      <w:pPr>
        <w:jc w:val="both"/>
      </w:pPr>
      <w:r>
        <w:t>(C) Selection and freeze provenance. Eighty candidate pathways were evaluated; 38 entered the strict pool. Diversity-aware redundancy control retained 25 strict-selected programs, and five additional programs were admitted under the prespecified fallback rule to complete the frozen 30-program panel. Disease cohorts did not contribute to candidate scoring, reselection, program membership, or chamber direction.</w:t>
      </w:r>
    </w:p>
    <w:p>
      <w:pPr>
        <w:jc w:val="both"/>
      </w:pPr>
      <w:r>
        <w:t>(D) Frozen program-to-family topology. The 30 programs map to 16 NCP families in the canonical direction-blocked order used throughout subsequent analyses. The topology retains 22 LA-biased and eight RA-biased programs and spans translation and ribosome quality control, extracellular-matrix and glycosaminoglycan biology, growth-factor and receptor signaling, metabolism, and related atrial-remodeling themes.</w:t>
      </w:r>
    </w:p>
    <w:p>
      <w:pPr>
        <w:jc w:val="both"/>
      </w:pPr>
      <w:r>
        <w:t>LA, left atrium; RA, right atrium; AF, atrial fibrillation; NCP, Normal Chamber Prior; M, healthy program-specific reference magnitude.</w:t>
      </w:r>
    </w:p>
    <w:p>
      <w:pPr>
        <w:pStyle w:val="Heading3"/>
      </w:pPr>
      <w:r>
        <w:t>Fig 2. Paired-chamber bulk cohorts reveal selective cross-cohort NCP remodeling in atrial fibrillation.</w:t>
      </w:r>
    </w:p>
    <w:p>
      <w:pPr>
        <w:jc w:val="both"/>
      </w:pPr>
      <w:r>
        <w:t>(A) Bulk deployment of the frozen NCP. Fixed selection-time leading-edge gene sets were scored at program level in three paired-chamber bulk cohorts. Sample-level scores were converted to donor-level LA–RA contrasts, aligned to the healthy chamber direction, scaled by the program-specific healthy magnitude, and summarized at family level without pathway reselection.</w:t>
      </w:r>
    </w:p>
    <w:p>
      <w:pPr>
        <w:jc w:val="both"/>
      </w:pPr>
      <w:r>
        <w:t>(B) Donor-level family heatmap across 51 paired donors: 25 with AF and 26 in sinus rhythm. Rows show the 16 frozen families and columns show donors, with cohort and rhythm annotations. The heatmap displays AF-associated shifts together with donor, cohort, and family heterogeneity.</w:t>
      </w:r>
    </w:p>
    <w:p>
      <w:pPr>
        <w:jc w:val="both"/>
      </w:pPr>
      <w:r>
        <w:t>(C) Descriptive family-by-cohort remodeling states. Across 16 families and three cohorts, the 48 family–cohort calls comprised five Amplified, 16 Preserved, 15 Attenuated, and 12 Reversed states. These labels summarize cohort-level remodeling patterns and are not independent significance tests or unique causal trajectories.</w:t>
      </w:r>
    </w:p>
    <w:p>
      <w:pPr>
        <w:jc w:val="both"/>
      </w:pPr>
      <w:r>
        <w:t>(D) Cohort-specific and pooled family effects with cross-cohort consistency. Points and intervals show cohort-specific AF-minus-SR Hedges’ g estimates and their uncertainty; pooled effects use fixed-effect inverse-variance weighting. Six families were classified as High consistency, eight as Moderate, and two as Low. The High set comprised three LA-biased translation/RQC families (F1, F12, and F14) and three RA-biased matrix/developmental families (F9, F10, and F15). All six High-consistency pooled effects were negative on the aligned family scale. Consistency classes summarize pooled-effect uncertainty and cross-cohort direction agreement and are not causal claims.</w:t>
      </w:r>
    </w:p>
    <w:p>
      <w:pPr>
        <w:jc w:val="both"/>
      </w:pPr>
      <w:r>
        <w:t>AF, atrial fibrillation; SR, sinus rhythm; LA, left atrium; RA, right atrium; NCP, Normal Chamber Prior; RQC, ribosome quality control; Hedges’ g, standardized mean difference corrected for small-sample bias.</w:t>
      </w:r>
    </w:p>
    <w:p>
      <w:pPr>
        <w:pStyle w:val="Heading3"/>
      </w:pPr>
      <w:r>
        <w:t>Fig 3. LA single-nucleus data resolve selective NCP family localization.</w:t>
      </w:r>
    </w:p>
    <w:p>
      <w:pPr>
        <w:jc w:val="both"/>
      </w:pPr>
      <w:r>
        <w:t>(A) LA single-nucleus localization design. GSE255612 contributed 18 AF and 16 non-fibrillating control donors. Frozen NCP programs were scored in donor-aware compartment pseudobulks across nine LA compartments: atrial cardiomyocytes, fibroblasts, endothelial cells, macrophages, lymphocytes, pericytes, vascular smooth muscle cells, adipocytes, and neuronal cells. Because the resource contains LA samples only, this layer provides LA compartment context rather than an independent test of RA-driven remodeling.</w:t>
      </w:r>
    </w:p>
    <w:p>
      <w:pPr>
        <w:jc w:val="both"/>
      </w:pPr>
      <w:r>
        <w:t>(B) Family-by-compartment AF-minus-control localization map. Cell values show family-score differences across included compartments. Nominal permutation markers identify compartments meeting the preset donor-count, detectable-gene, and permutation-support criteria. These markers are localization cues and are not FDR-controlled discovery.</w:t>
      </w:r>
    </w:p>
    <w:p>
      <w:pPr>
        <w:jc w:val="both"/>
      </w:pPr>
      <w:r>
        <w:t>(C) Carrier-relative class architecture. Final classes comprised one Fidelity family (F10 GAG disease / TGF-β), two Relay families (F11 BMP signaling and F15 NTRK2 / TrkB), one Extension family (F16 Keratan sulfate), and 12 Below-detection families. F10 showed nominal Fidelity localization in fibroblasts, F11 Relay localization in adipocytes, F15 Relay localization in endothelial cells only, and F16 Extension involving fibroblasts and atrial cardiomyocytes. Below-detection indicates that no included LA compartment met the preset criteria and does not imply absence of biological remodeling.</w:t>
      </w:r>
    </w:p>
    <w:p>
      <w:pPr>
        <w:jc w:val="both"/>
      </w:pPr>
      <w:r>
        <w:t>(D) Donor-level examples of Relay and Extension. For F15, the healthy carrier prior was fibroblast, whereas nominal AF-associated localization was confined to endothelial cells, illustrating Relay. F16 illustrates Extension, with nominal support in the fibroblast carrier compartment and atrial cardiomyocytes. The displayed examples do not expand the four-family non-Below set.</w:t>
      </w:r>
    </w:p>
    <w:p>
      <w:pPr>
        <w:jc w:val="both"/>
      </w:pPr>
      <w:r>
        <w:t>AF, atrial fibrillation; LA, left atrium; RA, right atrium; NCP, Normal Chamber Prior; FDR, false discovery rate.</w:t>
      </w:r>
    </w:p>
    <w:p>
      <w:pPr>
        <w:pStyle w:val="Heading3"/>
      </w:pPr>
      <w:r>
        <w:t>Fig 4. Cross-sectional AF-duration analysis identifies selective chronicity trends.</w:t>
      </w:r>
    </w:p>
    <w:p>
      <w:pPr>
        <w:jc w:val="both"/>
      </w:pPr>
      <w:r>
        <w:t>(A) Duration-analysis design in GSE41177. The primary analysis used LAA samples from 12 AF donors with finite numeric month-coded duration. Because this was not a paired LA–RA duration design, frozen family activity scores rather than relative chamber-asymmetry scores were analyzed. LAPV samples provided regional sensitivity only. Sinus-rhythm samples were not included as duration anchors in the final main-figure panels.</w:t>
      </w:r>
    </w:p>
    <w:p>
      <w:pPr>
        <w:jc w:val="both"/>
      </w:pPr>
      <w:r>
        <w:t>(B) Family-level LAA duration associations with LAPV sensitivity. Spearman correlations summarize the relationship between family activity and AF duration in the 12 primary AF-LAA samples; corresponding LAPV estimates provide a regional-direction sensitivity view.</w:t>
      </w:r>
    </w:p>
    <w:p>
      <w:pPr>
        <w:jc w:val="both"/>
      </w:pPr>
      <w:r>
        <w:t>(C) Chronicity classes across the 16 families. Classes were assigned from the full-precision absolute LAA Spearman correlation: Strong-trend for |ρ| ≥ 0.4, Weak-trend for 0.2 ≤ |ρ| &lt; 0.4, and Stable for |ρ| &lt; 0.2. Two families were Strong-trend, six Weak-trend, and eight Stable. Display rounding, permutation p values, bootstrap intervals, LAPV estimates, and regional sign did not determine class. The classes are descriptive trend-magnitude summaries rather than multiple-testing-controlled significance calls.</w:t>
      </w:r>
    </w:p>
    <w:p>
      <w:pPr>
        <w:jc w:val="both"/>
      </w:pPr>
      <w:r>
        <w:t>(D) Representative duration patterns. F9 HS-GAG / bone / GPCR showed a Strong negative LAA trend (ρ = −0.420) and a same-sign negative LAPV estimate (ρ = −0.161). F2 Mito Ca²⁺ transport showed a Strong negative LAA trend (ρ = −0.564) but an opposite-sign positive LAPV estimate (ρ = 0.196). F15 NTRK2 / TrkB showed a Weak negative LAA trend (ρ = −0.385) and a same-sign negative LAPV estimate (ρ = −0.186). Regional sign is a sensitivity descriptor and is not interpreted as replication or failure.</w:t>
      </w:r>
    </w:p>
    <w:p>
      <w:pPr>
        <w:jc w:val="both"/>
      </w:pPr>
      <w:r>
        <w:t>Duration provides cross-sectional chronicity context and does not establish temporal progression, recurrence risk, or treatment response. AF, atrial fibrillation; LAA, left-atrial appendage; LAPV, left atrial–pulmonary vein junction; ρ, Spearman correlation coefficient.</w:t>
      </w:r>
    </w:p>
    <w:p>
      <w:pPr>
        <w:pStyle w:val="Heading3"/>
      </w:pPr>
      <w:r>
        <w:t>Fig 5. Rule-based cross-layer triangulation prioritizes two NCP families and provides ROI-level spatial context.</w:t>
      </w:r>
    </w:p>
    <w:p>
      <w:pPr>
        <w:jc w:val="both"/>
      </w:pPr>
      <w:r>
        <w:t>(A) Cross-layer triangulation contract. Corrected paired-bulk, LA single-nucleus, and LAA duration summaries were placed on the frozen 16-family NCP topology without fitting a merged latent model. High bulk consistency, non-Below-detection LA single-nucleus classification, and non-Stable duration classification defined the three Path A gates. The healthy HCA LA carrier prior and dominant bulk state were contextual annotations; GeoMx and genetics were also excluded from the support count.</w:t>
      </w:r>
    </w:p>
    <w:p>
      <w:pPr>
        <w:jc w:val="both"/>
      </w:pPr>
      <w:r>
        <w:t>(B) Family-level triangulation matrix in the canonical Figure 1D order. Context columns show the healthy HCA LA carrier prior and corrected dominant bulk state. Gate columns show bulk consistency, LA single-nucleus class, and LAA duration class. Support count is the number of satisfied gates, and Path A requires all three. F10 GAG disease / TGF-β and F15 NTRK2 / TrkB satisfied 3/3 gates and were assigned Path A. F9 HS-GAG / bone / GPCR satisfied 2/3 gates.</w:t>
      </w:r>
    </w:p>
    <w:p>
      <w:pPr>
        <w:jc w:val="both"/>
      </w:pPr>
      <w:r>
        <w:t>(C) Observed gate architecture. Across 16 families, two satisfied 3/3 gates, one satisfied 2/3, ten satisfied 1/3, and three satisfied 0/3. F1, F12, and F14 were bulk-only; F11 and F16 were single-nucleus-only; F2, F3, F7, F8, and F13 were duration-only; and F4, F5, and F6 met none of the three gates. Path A is a rule-based triage label across non-exchangeable evidence layers, not a joint statistical test or causal-validation claim.</w:t>
      </w:r>
    </w:p>
    <w:p>
      <w:pPr>
        <w:jc w:val="both"/>
      </w:pPr>
      <w:r>
        <w:t>(D) GeoMx ROI-level spatial context. The full GSE261363 resource contained 48 ROIs from four patients; the panel displays 24 eligible cardiac atrial-appendage DNA-positive ROIs. F10 family-signature scores showed a nominal positive correlation with fibroblast-panel scores (Spearman ρ = 0.439, nominal p = 0.0318), and F15 scores showed a nominal positive correlation with macrophage-panel scores (ρ = 0.431, nominal p = 0.0354). F9 showed a nominal AF-minus-SR ROI-level difference (Δ = −0.033, Welch p = 0.0481). Marker color and shape identify patients, and open versus filled markers identify rhythm; axes are panel-specific. Multiple ROIs arose from each patient, and no patient-clustered or mixed-effects inference was applied. GeoMx family signatures used the approved frozen gene-union scoring exception and were not numerically merged with the program-first family scores used in Figures 2–4. These summaries provide spatial context only and did not modify Path A.</w:t>
      </w:r>
    </w:p>
    <w:p>
      <w:pPr>
        <w:jc w:val="both"/>
      </w:pPr>
      <w:r>
        <w:t>HCA, Human Cell Atlas; LA, left atrium; LAA, left-atrial appendage; ROI, region of interest; AF, atrial fibrillation; SR, sinus rhythm; NCP, Normal Chamber Prior.</w:t>
      </w:r>
    </w:p>
    <w:p>
      <w:pPr>
        <w:pStyle w:val="Heading3"/>
      </w:pPr>
      <w:r>
        <w:t>Fig 6. Genetic calibration reveals limited, non-nested traceability of prespecified NCP anchors and families.</w:t>
      </w:r>
    </w:p>
    <w:p>
      <w:pPr>
        <w:jc w:val="both"/>
      </w:pPr>
      <w:r>
        <w:t>(A) Anchor-level calibration against AF GWAS and atrial cis-eQTL evidence. Twelve prespecified anchors—10 framework anchors and the PITX2 and KCNN3 AF calibration controls—were evaluated using the Yuan et al. 2025 cross-population AF GWAS deposited as GWAS Catalog accession GCST90624411 and GTEx left-atrial-appendage cis-eQTL data. The corrected GWAS publication reports 252,438 AF cases and 1,959,739 controls. Seven anchor windows contained local genome-wide AF associations, one anchor, SMAD9, met the corrected atrial eGene criterion, and no anchor reached the prespecified same-variant colocalization threshold of PP4 ≥ 0.70. SMAD9 illustrates that atrial eGene evidence does not imply GWAS–eQTL colocalization. The lack of colocalization support for PITX2 and KCNN3 under the same regime helps calibrate the overall non-support rather than exclude gene-level mechanisms.</w:t>
      </w:r>
    </w:p>
    <w:p>
      <w:pPr>
        <w:jc w:val="both"/>
      </w:pPr>
      <w:r>
        <w:t>(B) Continuous colocalization posterior configuration and lead-variant separation. All 12 anchors were PP3-dominant, and none reached PP4 ≥ 0.70. The adjacent lollipop track shows the absolute genomic separation between the frozen lead AF GWAS and atrial eQTL variants, ranging from 0.46 to 1.92 Mb. Lead separation is a descriptive diagnostic and was not used to calculate the colocalization posterior. The combined high-PP3, low-PP4 pattern is consistent with distinct local association signals rather than supported same-variant bulk-LAA total-expression mediation.</w:t>
      </w:r>
    </w:p>
    <w:p>
      <w:pPr>
        <w:jc w:val="both"/>
      </w:pPr>
      <w:r>
        <w:t>(C) Sparse overlap between frozen NCP family leading-edge genes and four prespecified external AF gene sets. Sixty-four family–set pairs were tested for enrichment by a hypergeometric test against a background of 14,635 NCP-eligible genes. Five cells contained member overlap, involving two unique genes across three families. Four cells reflected CAV1 membership in F3 Adipo-lipid axis and F13 Amino-acid metabolism across two common-risk or prioritized sets; the fifth reflected HEY2 membership in F9 HS-GAG / bone / GPCR and a regulatory set. No family–set enrichment survived BH-FDR correction. Repeated CAV1 cells reflect shared set membership rather than independent genetic observations; member overlap is therefore shown as a traceability cue rather than evidence of family-level enrichment.</w:t>
      </w:r>
    </w:p>
    <w:p>
      <w:pPr>
        <w:jc w:val="both"/>
      </w:pPr>
      <w:r>
        <w:t>(D) Non-nested genetic traceability profiles across the 12 anchors. The compact core profile shows local AF GWAS, atrial eGene, and same-variant colocalization flags, present for 7/12, 1/12, and 0/12 anchors. External columns show risk or prioritized gene-set membership, regulatory annotation, and rare or functional membership, present for 2/12, 2/12, and 0/12 anchors. Filled symbols indicate evidence present, open symbols indicate that an evaluated criterion was not met or no membership was found, and dashes indicate evidence not evaluated. The categories are non-nested and were not combined into an ordinal tier, composite score, or causal verdict, and they were not used to exclude genetic mechanisms or as a Figure 5 Path A gate.</w:t>
      </w:r>
    </w:p>
    <w:p>
      <w:pPr>
        <w:jc w:val="both"/>
      </w:pPr>
      <w:r>
        <w:t>AF, atrial fibrillation; GWAS, genome-wide association study; eQTL, expression quantitative trait locus; PP3, posterior probability favoring distinct local signals; PP4, posterior probability favoring a shared causal signal; BH-FDR, Benjamini–Hochberg false discovery rate; LAA, left-atrial appendage; NCP, Normal Chamber Prior.</w:t>
      </w:r>
    </w:p>
    <w:p>
      <w:pPr>
        <w:pStyle w:val="Heading2"/>
      </w:pPr>
      <w:r>
        <w:t>Supporting Information figures</w:t>
      </w:r>
    </w:p>
    <w:p>
      <w:pPr>
        <w:pStyle w:val="Heading3"/>
      </w:pPr>
      <w:r>
        <w:t>S1 Fig. Cohort overview and analysis roles of public datasets.</w:t>
      </w:r>
    </w:p>
    <w:p>
      <w:pPr>
        <w:jc w:val="both"/>
      </w:pPr>
      <w:r>
        <w:t>(A) Dataset-specific donor, sample, patient, region-of-interest, or summary-statistics counts, stratified by rhythm or control group where applicable. (B) Age distributions by cohort and rhythm or control status where available. (C) Sex composition by cohort. (D) Reported disease-background annotations. Counts use the analysis unit appropriate to each resource and should not be interpreted as a single pooled donor total. The analysis role, primary unit, and source provenance for each dataset are provided in S1 Table.</w:t>
      </w:r>
    </w:p>
    <w:p>
      <w:pPr>
        <w:jc w:val="both"/>
      </w:pPr>
      <w:r>
        <w:t>AF, atrial fibrillation; SR, sinus rhythm; ROI, region of interest.</w:t>
      </w:r>
    </w:p>
    <w:p>
      <w:pPr>
        <w:pStyle w:val="Heading3"/>
      </w:pPr>
      <w:r>
        <w:t>S2 Fig. Donor pairing and sample-attribute structure.</w:t>
      </w:r>
    </w:p>
    <w:p>
      <w:pPr>
        <w:jc w:val="both"/>
      </w:pPr>
      <w:r>
        <w:t>Pairing and sample-availability map for the three paired-chamber bulk cohorts and the GSE41177 regional-duration cohort. For GSE128188, GSE79768, and GSE115574, rows represent donors and columns represent atrial chambers. For GSE41177, rows represent donors and columns represent left-atrial-appendage and left atrial–pulmonary vein junction samples. Filled cells indicate available samples; rhythm, age, and sex annotations are shown where available. GSE41177 sinus-rhythm samples document cohort structure only and were not used as duration anchors in the final correlation, classification, or Figure 4D analyses. This figure documents sample structure and is not an independent AF-remodeling evidence layer.</w:t>
      </w:r>
    </w:p>
    <w:p>
      <w:pPr>
        <w:jc w:val="both"/>
      </w:pPr>
      <w:r>
        <w:t>AF, atrial fibrillation; SR, sinus rhythm.</w:t>
      </w:r>
    </w:p>
    <w:p>
      <w:pPr>
        <w:pStyle w:val="Heading3"/>
      </w:pPr>
      <w:r>
        <w:t>S3 Fig. Full LA single-nucleus family and program localization.</w:t>
      </w:r>
    </w:p>
    <w:p>
      <w:pPr>
        <w:jc w:val="both"/>
      </w:pPr>
      <w:r>
        <w:t>Donor-aware compartment pseudobulk profiles from GSE255612 were analyzed using the frozen exact-reference NCP scoring lineage.</w:t>
      </w:r>
    </w:p>
    <w:p>
      <w:pPr>
        <w:jc w:val="both"/>
      </w:pPr>
      <w:r>
        <w:t>(A) Complete 16-family × 9-compartment AF-minus-control localization map. (B) Complete 30-program × 9-compartment localization map. (C) Corrected family class and supported-compartment summary.</w:t>
      </w:r>
    </w:p>
    <w:p>
      <w:pPr>
        <w:jc w:val="both"/>
      </w:pPr>
      <w:r>
        <w:t>Final family classes comprised one Fidelity family (F10 GAG disease / TGF-β), two Relay families (F11 BMP signaling and F15 NTRK2 / TrkB), one Extension family (F16 Keratan sulfate), and 12 Below-detection families. Supported compartments were fibroblast for F10, adipocyte for F11, endothelial only for F15, and fibroblast plus atrial cardiomyocyte for F16. Markers denote nominal permutation localization under the preset donor-count and detectable-gene criteria and are not FDR-controlled discovery. Because the resource contains LA samples only, this figure supplies LA compartment context rather than an independent test of RA-driven remodeling. Program-level values do not redefine the family classes; in particular, any F4 BCAA program signal does not make F4 a fifth non-Below family.</w:t>
      </w:r>
    </w:p>
    <w:p>
      <w:pPr>
        <w:jc w:val="both"/>
      </w:pPr>
      <w:r>
        <w:t>AF, atrial fibrillation; LA, left atrium; RA, right atrium; FDR, false discovery rate.</w:t>
      </w:r>
    </w:p>
    <w:p>
      <w:pPr>
        <w:pStyle w:val="Heading3"/>
      </w:pPr>
      <w:r>
        <w:t>S4 Fig. Per-cohort principal-component overview of expression datasets.</w:t>
      </w:r>
    </w:p>
    <w:p>
      <w:pPr>
        <w:jc w:val="both"/>
      </w:pPr>
      <w:r>
        <w:t>Principal-component analysis was performed separately within each expression cohort using the fixed preprocessing recorded in the figure source lineage. Panels show the GSE112339 healthy paired LA/RA reference, the three paired-chamber AF/SR bulk cohorts GSE128188, GSE79768, and GSE115574, and the GSE41177 duration cohort. Points are annotated by rhythm or control status and by chamber or region where applicable; paired healthy donors are connected in the reference panel. This figure provides cohort-level quality control and sample context only and is not an independent statistical test of AF remodeling.</w:t>
      </w:r>
    </w:p>
    <w:p>
      <w:pPr>
        <w:jc w:val="both"/>
      </w:pPr>
      <w:r>
        <w:t>PCA, principal-component analysis; AF, atrial fibrillation; SR, sinus rhythm; LA, left atrium; RA, right atrium.</w:t>
      </w:r>
    </w:p>
    <w:p>
      <w:pPr>
        <w:pStyle w:val="Heading3"/>
      </w:pPr>
      <w:r>
        <w:t>S5 Fig. GSE238242 RNA-side and mural-cell sensitivity.</w:t>
      </w:r>
    </w:p>
    <w:p>
      <w:pPr>
        <w:jc w:val="both"/>
      </w:pPr>
      <w:r>
        <w:t>(A) RNA-side AF-minus-SR score differences for six prespecified support programs across the four primary compartments in the GSE238242 left-atrial-appendage multiome cohort. (B) Sensitivity analysis after combining pericyte and vascular smooth muscle cell profiles into a mural-cell compartment. The combined mural-cell result was directionally consistent with the four-compartment RNA-side analysis. No expected program–compartment pair met the prespecified moderate or strong support criterion. These panels are supplementary sensitivity analyses only: they are not among the three Path A gates, do not alter the Figure 3 family classes, and do not constitute an independent main-text evidence layer.</w:t>
      </w:r>
    </w:p>
    <w:p>
      <w:pPr>
        <w:jc w:val="both"/>
      </w:pPr>
      <w:r>
        <w:t>AF, atrial fibrillation; SR, sinus rhythm.</w:t>
      </w:r>
    </w:p>
    <w:p>
      <w:pPr>
        <w:pStyle w:val="Heading3"/>
      </w:pPr>
      <w:r>
        <w:t>S6 Fig. Chamber contribution to AF-associated NCP family rewiring.</w:t>
      </w:r>
    </w:p>
    <w:p>
      <w:pPr>
        <w:jc w:val="both"/>
      </w:pPr>
      <w:r>
        <w:t>Chamber-contribution view of AF-associated family shifts across the three paired-chamber bulk cohorts GSE128188, GSE79768, and GSE115574. For each cohort, families are plotted by the AF-minus-SR change in relative left-atrial (ΔaCAI_LA) and right-atrial (ΔaCAI_RA) scores; bubble size encodes |ΔaCAIrel|, the absolute AF-minus-SR change in the donor-paired relative aligned chamber asymmetry index. Points are colored by chamber source (LA-dominant, RA-dominant, or Bilateral), indicating whether the paired-chamber family shift is driven primarily by the LA component, the RA component, or both. Family rows follow the final canonical NCP topology and display order. The figure decomposes chamber contributions to the observed AF-associated family rewiring and does not constitute mechanism-direction validation or a separate Path A gate.</w:t>
      </w:r>
    </w:p>
    <w:p>
      <w:pPr>
        <w:jc w:val="both"/>
      </w:pPr>
      <w:r>
        <w:t>AF, atrial fibrillation; LA, left atrium; RA, right atrium; NCP, Normal Chamber Prior; aCAIrel, relative aligned chamber asymmetry index.</w:t>
      </w:r>
    </w:p>
    <w:p>
      <w:pPr>
        <w:pStyle w:val="Heading3"/>
      </w:pPr>
      <w:r>
        <w:t>S7 Fig. F4 BCAA constituent-program fibroblast support.</w:t>
      </w:r>
    </w:p>
    <w:p>
      <w:pPr>
        <w:jc w:val="both"/>
      </w:pPr>
      <w:r>
        <w:t>The parent F4 Mito proteostasis / FA–BCAA family remained Below-detection in the final family-level LA single-nucleus classification. Within that family, the branched-chain amino-acid catabolism constituent program showed nominal fibroblast support under the corrected exact-reference scorer (Δsingscore = 0.0125; p_perm = 0.0115; n_control = 16; n_AF = 18). The figure displays the program-level donor and compartment evidence underlying this nominal result. This is a constituent-program example only: it is not a fifth non-Below family, does not assign F4 to Fidelity, Relay, or Extension, is not FDR-controlled discovery, and does not change the Figure 5 support count or Path A classification.</w:t>
      </w:r>
    </w:p>
    <w:p>
      <w:pPr>
        <w:jc w:val="both"/>
      </w:pPr>
      <w:r>
        <w:t>AF, atrial fibrillation; BCAA, branched-chain amino-acid.</w:t>
      </w:r>
    </w:p>
    <w:p>
      <w:pPr>
        <w:pStyle w:val="Heading3"/>
      </w:pPr>
      <w:r>
        <w:t>S8 Fig. Full NCP family overlap with external AF gene sets.</w:t>
      </w:r>
    </w:p>
    <w:p>
      <w:pPr>
        <w:jc w:val="both"/>
      </w:pPr>
      <w:r>
        <w:t>Complete 16-family × 4-set matrix of member overlap between frozen NCP family leading-edge genes and the prespecified external AF common-risk or prioritized, regulatory, and rare or functional gene sets. All 64 family–set pairs were tested against the frozen background universe of 14,635 NCP-eligible genes. Five cells contained member overlap, involving two unique genes across three families: CAV1 occurred in F3 Adipo-lipid axis and F13 Amino-acid metabolism across the Yuan and Roselli sets, and HEY2 occurred in F9 HS-GAG / bone / GPCR and the Selewa regulatory set. The Choi rare/structural-variant set contained no overlap with the frozen families. No family–set enrichment survived BH-FDR correction. Repeated CAV1 cells reflect shared set membership rather than independent genetic observations. Cell labels indicate member overlap; blank cells indicate tested zero overlap. Member overlap is not interpreted as family-level enrichment or a Path A gate.</w:t>
      </w:r>
    </w:p>
    <w:p>
      <w:pPr>
        <w:jc w:val="both"/>
      </w:pPr>
      <w:r>
        <w:t>AF, atrial fibrillation; BH-FDR, Benjamini–Hochberg false discovery rate.</w:t>
      </w:r>
    </w:p>
    <w:p>
      <w:pPr>
        <w:pStyle w:val="Heading2"/>
      </w:pPr>
      <w:r>
        <w:t>Supporting Information tables</w:t>
      </w:r>
    </w:p>
    <w:p>
      <w:pPr>
        <w:pStyle w:val="Heading3"/>
      </w:pPr>
      <w:r>
        <w:t>S1 Table. Public datasets, cohort metadata, and analysis roles.</w:t>
      </w:r>
    </w:p>
    <w:p>
      <w:pPr>
        <w:jc w:val="both"/>
      </w:pPr>
      <w:r>
        <w:t>The workbook lists the public molecular, spatial, eQTL, GWAS, and external gene-set resources used in the study. For each resource, it reports accession or resource identifier, platform, tissue or region, chamber information, rhythm or control groups, dataset-specific counts, primary analysis unit, analysis role, main-figure or supplementary link, source publication, source path, and provenance hash. Counts use the unit appropriate to each dataset—donor, sample, patient, ROI, or summary-statistics resource—and should not be interpreted as a single pooled donor total. The workbook contains README, datasets, and Provenance sheets.</w:t>
      </w:r>
    </w:p>
    <w:p>
      <w:pPr>
        <w:pStyle w:val="Heading3"/>
      </w:pPr>
      <w:r>
        <w:t>S2 Table. Multiple-testing, uncertainty, and evidence-gating strategy.</w:t>
      </w:r>
    </w:p>
    <w:p>
      <w:pPr>
        <w:jc w:val="both"/>
      </w:pPr>
      <w:r>
        <w:t>The workbook summarizes the tested or summarized unit, estimand, statistic, uncertainty measure, resampling or multiplicity treatment, classification rule, Path A contribution, and interpretation boundary for each analysis layer. Exactly three rows contribute to Path A: High bulk cross-cohort consistency, non-Below-detection LA single-nucleus classification, and non-Stable LAA duration classification. The healthy carrier prior, dominant bulk state, GeoMx, genetics, GSE238242 sensitivity, and the F4 BCAA constituent-program example are context or sensitivity layers and do not enter the Path A support count. The workbook distinguishes formal effect estimates, nominal localization cues, descriptive effect-size bins, ROI-level summaries, and non-nested genetic diagnostics. It contains README, evidence_gating, and Provenance sheets.</w:t>
      </w:r>
    </w:p>
    <w:p>
      <w:pPr>
        <w:pStyle w:val="Heading3"/>
      </w:pPr>
      <w:r>
        <w:t>S3 Table. Corrected bulk paired-chamber effects and cross-cohort consistency.</w:t>
      </w:r>
    </w:p>
    <w:p>
      <w:pPr>
        <w:jc w:val="both"/>
      </w:pPr>
      <w:r>
        <w:t>The family_summary sheet reports the 16 frozen NCP families in canonical order, including healthy direction, pooled AF-minus-SR Hedges’ g, standard error, 95% confidence interval, fixed-effect inverse-variance pooling metadata, cohort-sign agreement, and final High, Moderate, or Low consistency class. The final classes comprise six High, eight Moderate, and two Low families. The cohort_effects sheet reports the family-by-cohort estimates and the 48 descriptive state calls: five Amplified, 16 Preserved, 15 Attenuated, and 12 Reversed. State calls summarize remodeling patterns and are not independent significance tests. The workbook contains README, family_summary, cohort_effects, and Provenance sheets.</w:t>
      </w:r>
    </w:p>
    <w:p>
      <w:pPr>
        <w:pStyle w:val="Heading3"/>
      </w:pPr>
      <w:r>
        <w:t>S4 Table. Corrected LA single-nucleus localization and carrier-relative classes.</w:t>
      </w:r>
    </w:p>
    <w:p>
      <w:pPr>
        <w:jc w:val="both"/>
      </w:pPr>
      <w:r>
        <w:t>The family_summary sheet reports the 16 frozen families, healthy HCA LA carrier prior, final Fidelity, Relay, Extension, or Below-detection class, supported compartments, and evidence summary. Final classes comprise F10 Fidelity, F11 and F15 Relay, F16 Extension, and 12 Below-detection families. Supported compartments are fibroblast for F10, adipocyte for F11, endothelial only for F15, and fibroblast plus atrial cardiomyocyte for F16. The family_compartment_detail sheet reports donor counts, detectable leading-edge genes, AF-minus-control family score differences, permutation method, nominal permutation p values, testing eligibility, carrier relationship, and localization status for all 16 families across nine LA compartments. Localization is LA-only and nominal; it is not FDR-controlled discovery, and Below-detection does not imply biological absence. The workbook contains README, family_summary, family_compartment_detail, and Provenance sheets.</w:t>
      </w:r>
    </w:p>
    <w:p>
      <w:pPr>
        <w:jc w:val="both"/>
      </w:pPr>
      <w:r>
        <w:t>HCA, Human Cell Atlas; LA, left atrium; FDR, false discovery rate.</w:t>
      </w:r>
    </w:p>
    <w:p>
      <w:pPr>
        <w:pStyle w:val="Heading3"/>
      </w:pPr>
      <w:r>
        <w:t>S5 Table. Corrected cross-sectional AF-duration trends and chronicity classes.</w:t>
      </w:r>
    </w:p>
    <w:p>
      <w:pPr>
        <w:jc w:val="both"/>
      </w:pPr>
      <w:r>
        <w:t>The family_summary sheet reports the 16 frozen families, full-precision and displayed LAA Spearman correlations, absolute LAA correlation, final Strong-, Weak-, or Stable-trend class, permutation p value, bootstrap interval, LAPV sensitivity estimate, and regional-sign descriptor. Final classes comprise two Strong-trend, six Weak-trend, and eight Stable families. Classification uses only the full-precision absolute LAA Spearman correlation; displayed rounding, p values, confidence intervals, LAPV estimates, and regional sign do not determine class. The design_summary sheet records the primary 12 AF-LAA samples, duration parsing, scoring design, LAPV sensitivity role, and the exclusion of SR samples from duration correlation and class assignment. The analysis provides cross-sectional chronicity context and is not a progression, recurrence, or treatment-response model. The workbook contains README, family_summary, design_summary, and Provenance sheets.</w:t>
      </w:r>
    </w:p>
    <w:p>
      <w:pPr>
        <w:jc w:val="both"/>
      </w:pPr>
      <w:r>
        <w:t>AF, atrial fibrillation; LAA, left-atrial appendage; LAPV, left atrial–pulmonary vein junction; SR, sinus rhythm.</w:t>
      </w:r>
    </w:p>
    <w:p>
      <w:pPr>
        <w:pStyle w:val="Heading3"/>
      </w:pPr>
      <w:r>
        <w:t>S6 Table. Anchor-level genetic calibration and non-nested traceability.</w:t>
      </w:r>
    </w:p>
    <w:p>
      <w:pPr>
        <w:jc w:val="both"/>
      </w:pPr>
      <w:r>
        <w:t>The anchor_summary sheet reports the 12 prespecified anchors in the final Figure 6 order, including calibration-control role, local AF GWAS status, lead GWAS and atrial eQTL variants and positions, atrial eGene status, PP3, PP4, same-variant colocalization status, lead-variant separation, and membership in common-risk or prioritized, regulatory, and rare or functional external evidence sets. The final summary contains local AF GWAS support for 7/12 anchors, atrial eGene support for 1/12 (SMAD9), PP3-dominant configuration for 12/12, and PP4 ≥ 0.70 support for 0/12. Risk or prioritized and regulatory membership are each present for 2/12 anchors, PITX2 and KCNN3, whereas rare or functional membership is present for 0/12. The dimension_summary sheet provides definitions, present counts, thresholds, source lineage, and interpretation boundaries for the seven evidence dimensions. The categories are non-nested, are not combined into a score or ordinal tier, and do not enter Path A. GWAS provenance is locked to Yuan et al. 2025, GCST90624411, with 252,438 AF cases and 1,959,739 controls. The workbook contains README, anchor_summary, dimension_summary, and Provenance sheets.</w:t>
      </w:r>
    </w:p>
    <w:p>
      <w:pPr>
        <w:jc w:val="both"/>
      </w:pPr>
      <w:r>
        <w:t>AF, atrial fibrillation; GWAS, genome-wide association study; eQTL, expression quantitative trait locus; PP3, posterior probability favoring distinct local signals; PP4, posterior probability favoring a shared causal signal.</w:t>
      </w:r>
    </w:p>
    <w:p>
      <w:pPr>
        <w:pStyle w:val="Heading2"/>
      </w:pPr>
      <w:r>
        <w:t>Graphical abstract</w:t>
      </w:r>
    </w:p>
    <w:p>
      <w:pPr>
        <w:jc w:val="both"/>
      </w:pPr>
      <w:r>
        <w:t>Three-band schematic. Top: environmental modifiers (air pollution, noise, heat, built and social environment) as dashed upstream connectors. Centre: healthy chamber identity → AF chamber rewiring → distributed matrix–metabolic substrate. Bottom: clinical translation tagline — substrate phenotyping beyond a binary AF/SR state. Dashed arrows denote hypothesised relationships and convey no causal claim; solid arrows denote relationships established within this study.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