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>
        <w:jc w:val="both"/>
      </w:pPr>
      <w:r>
        <w:t>Atrial fibrillation (AF) is the most common sustained cardiac arrhythmia and a major contributor to cardiovascular morbidity [1-3]. Its substrate can reflect different combinations of electrical instability, structural remodeling, inflammation, and metabolic stress [4,5]. Human transcriptomic studies have repeatedly implicated extracellular-matrix organization, ion-channel and calcium-handling pathways, immune signaling, and mitochondrial, metabolic, or translational programs [6-10]. However, comparison across cohorts remains difficult because studies differ in tissue sampling, chamber composition, clinical context, molecular platform, and analytical design.</w:t>
      </w:r>
    </w:p>
    <w:p>
      <w:pPr>
        <w:jc w:val="both"/>
      </w:pPr>
      <w:r>
        <w:t>One persistent source of heterogeneity is atrial chamber identity. The left and right atria have distinct baseline transcriptional programs and can show chamber-specific responses in AF [11-13]. Pooling chambers, comparing cohorts with different chamber compositions, or treating paired left- and right-atrial samples as independent observations can therefore confound disease-associated change with healthy LA–RA asymmetry. In paired atrial studies, rhythm is assigned at donor level whereas chamber is measured within donor, making donor-level LA–RA contrasts a natural unit for chamber-aware disease comparisons.</w:t>
      </w:r>
    </w:p>
    <w:p>
      <w:pPr>
        <w:jc w:val="both"/>
      </w:pPr>
      <w:r>
        <w:t>Pathway- and program-level summaries can reduce transcriptomic dimensionality, but raw chamber contrasts are not directly comparable across programs with different healthy baseline magnitudes. A reusable framework should therefore define each program’s chamber direction in a healthy paired reference, scale disease-associated asymmetry by a program-specific healthy magnitude, and freeze program membership before disease-cohort analysis. Applying the same definitions across cohorts avoids redefining the molecular coordinate system in response to each dataset.</w:t>
      </w:r>
    </w:p>
    <w:p>
      <w:pPr>
        <w:jc w:val="both"/>
      </w:pPr>
      <w:r>
        <w:t>Cross-dataset integration also requires preserving the distinctions among evidence layers. Paired bulk tissue, single-nucleus profiles, cross-sectional duration data, spatial regions of interest, and genetic summary statistics differ in analysis unit, estimand, and uncertainty structure. Collapsing them into a single score can obscure the difference between reproducible effect-size patterns, nominal cellular localization, descriptive chronicity trends, ROI-level spatial context, and genetic calibration. A useful integrative framework should make cross-layer agreement visible while retaining layer-specific interpretation boundaries.</w:t>
      </w:r>
    </w:p>
    <w:p>
      <w:pPr>
        <w:jc w:val="both"/>
      </w:pPr>
      <w:r>
        <w:t>Here we developed the Normal Chamber Prior (NCP), a frozen healthy reference of 30 LA–RA programs organized into 16 families from paired non-failing human atria [14]. We applied the same definitions to three paired-chamber bulk cohorts, LA single-nucleus RNA sequencing, a duration-annotated left-atrial-appendage cohort, GeoMx spatial ROIs, AF GWAS summary statistics, and atrial cis-eQTL resources. We asked which families showed reproducible bulk remodeling, where selected signals localized within LA, how family activity related to cross-sectional duration, and which families were prioritized by a prespecified three-layer rule (Path A). The analysis identified selective remodeling across both LA-biased translation and ribosome-quality-control programs and RA-biased matrix, proteoglycan, and developmental-signaling programs, yielded nominal LA compartment localization for four families, and prioritized two families across the three transcriptomic evidence layers. Spatial and genetic analyses supplied contextual and calibration-limited, non-nested traceability and did not enter Path A. The NCP therefore provides a reusable chamber-aware coordinate system for comparing heterogeneous AF datasets without redefining molecular programs in each cohort.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120"/>
    </w:pPr>
    <w:rPr>
      <w:rFonts w:ascii="Times New Roman" w:hAnsi="Times New Roman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