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Results</w:t>
      </w:r>
    </w:p>
    <w:p>
      <w:pPr>
        <w:pStyle w:val="Heading2"/>
      </w:pPr>
      <w:r>
        <w:t>Overview</w:t>
      </w:r>
    </w:p>
    <w:p>
      <w:pPr>
        <w:jc w:val="both"/>
      </w:pPr>
      <w:r>
        <w:t>We organized the analyses around a single frozen reference, the Normal Chamber Prior (NCP): 30 programs organized into 16 families, calibrated in healthy donors with paired atrial samples and carried forward with fixed definitions across disease datasets. Subsequent sections examine the healthy reference, paired bulk deployment across AF and sinus-rhythm cohorts, LA single-nucleus localization, cross-sectional duration context, cross-layer triangulation, and genetic calibration as distinct evidence layers with layer-specific interpretation boundaries.</w:t>
      </w:r>
    </w:p>
    <w:p>
      <w:pPr>
        <w:pStyle w:val="Heading2"/>
      </w:pPr>
      <w:r>
        <w:t>A frozen healthy chamber reference defines the NCP</w:t>
      </w:r>
    </w:p>
    <w:p>
      <w:pPr>
        <w:jc w:val="both"/>
      </w:pPr>
      <w:r>
        <w:t>Figure 1A defines the donor-paired estimand used throughout. Rhythm is assigned at the donor level, whereas chamber is measured within donor. The primary paired-bulk analysis unit is therefore a donor-level LA–RA program contrast. Each contrast is aligned to the frozen healthy chamber direction and scaled by the corresponding healthy reference magnitude, yielding a relative aligned chamber asymmetry that permits comparison across programs. Figure 1A is a definition of the measurement framework, not an AF association result.</w:t>
      </w:r>
    </w:p>
    <w:p>
      <w:pPr>
        <w:jc w:val="both"/>
      </w:pPr>
      <w:r>
        <w:t>In the healthy reference (Figure 1B), the 30 frozen programs were scored in eight healthy donors with paired LA and RA samples. Twenty-two programs were LA-biased and eight were RA-biased. All 30 programs matched the canonical chamber direction in every donor. Healthy reference magnitudes varied substantially across programs (median M = 0.0284; range approximately 0.00940 to 0.311), motivating program-specific scaling. These results calibrate the healthy chamber reference; they are not AF discovery findings.</w:t>
      </w:r>
    </w:p>
    <w:p>
      <w:pPr>
        <w:jc w:val="both"/>
      </w:pPr>
      <w:r>
        <w:t>Figure 1C summarizes selection provenance. 80 candidate pathways were evaluated, and 38 met the strict gate and entered the strict pool. After diversity-aware redundancy control, 25 programs were retained from the strict pool, and 5 additional programs were admitted under the prespecified fallback rule to complete the frozen 30-program panel. Fallback admission was prespecified. Disease cohorts did not contribute to candidate scoring or reselection, and AF cohorts did not alter program membership or chamber direction.</w:t>
      </w:r>
    </w:p>
    <w:p>
      <w:pPr>
        <w:jc w:val="both"/>
      </w:pPr>
      <w:r>
        <w:t>Figure 1D maps the frozen topology used downstream: the 30 programs are organized into 16 families in canonical display order, retaining the 22 LA-biased and 8 RA-biased programs defined above. These families span translation and ribosome quality control, extracellular-matrix and glycosaminoglycan biology, growth-factor and receptor signaling, metabolic programs, and related atrial-remodeling themes. Figure 1 therefore fixes the estimand, healthy calibration, selection provenance, and program-to-family topology used in all subsequent analyses.</w:t>
      </w:r>
    </w:p>
    <w:p>
      <w:pPr>
        <w:pStyle w:val="Heading2"/>
      </w:pPr>
      <w:r>
        <w:t>Paired-chamber bulk cohorts reveal selective cross-cohort remodeling</w:t>
      </w:r>
    </w:p>
    <w:p>
      <w:pPr>
        <w:jc w:val="both"/>
      </w:pPr>
      <w:r>
        <w:t>We next deployed the frozen NCP in three paired-chamber bulk cohorts totaling 51 paired donors (25 AF; 26 sinus rhythm). Program definitions and leading-edge gene sets remained fixed. For each donor, paired chamber contrasts were direction-aligned and scaled by healthy reference magnitudes, then summarized as family-level relative aligned chamber asymmetry index (aCAIrel) without pathway reselection in disease cohorts (Figure 2A). Figure 2B shows donor-level heterogeneity together with cohort and family structure, with AF-associated shifts superimposed on these sources of variation. The three cohorts were analyzed as parallel paired-chamber deployments, without designating any cohort as a discovery or replication arm.</w:t>
      </w:r>
    </w:p>
    <w:p>
      <w:pPr>
        <w:jc w:val="both"/>
      </w:pPr>
      <w:r>
        <w:t>At the family-by-cohort level (Figure 2C), descriptive state assignments across 48 family×cohort calls comprised 5 Amplified, 16 Preserved, 15 Attenuated, and 12 Reversed (5 + 16 + 15 + 12 = 48). These labels summarize observed remodeling patterns and are not independent significance tests; a shared state label does not imply a unique causal trajectory.</w:t>
      </w:r>
    </w:p>
    <w:p>
      <w:pPr>
        <w:jc w:val="both"/>
      </w:pPr>
      <w:r>
        <w:t>Pooled AF-minus-SR family effects were estimated by fixed-effect inverse-variance weighting and graded for cross-cohort consistency (Figure 2D). Consistency classes comprised six High, eight Moderate, and two Low families. The High group included three LA-biased translation/RQC families—F1 Translation / RQC, F12 rRNA processing, and F14 Translation initiation—and three RA-biased matrix/developmental families—F9 HS-GAG / bone / GPCR, F10 GAG disease / TGF-β, and F15 NTRK2 / TrkB. Moderate-consistency families were F2, F3, F5, F6, F8, F11, F13, and F16; Low-consistency families were F4 and F7. All six High-consistency pooled AF-minus-SR effects were negative on the aligned family scale. The largest-magnitude High estimate was observed for F15 NTRK2 / TrkB (Hedges’ g = −1.117; 95% CI −1.708 to −0.526). Negative pooled shifts indicate reproducible AF-minus-SR displacement on the aligned scale and should not be translated automatically into a single mechanism such as reversal.</w:t>
      </w:r>
    </w:p>
    <w:p>
      <w:pPr>
        <w:jc w:val="both"/>
      </w:pPr>
      <w:r>
        <w:t>Together, these results show that cross-cohort reproducibility was selective rather than uniform. High-consistency remodeling was not confined to RA-biased families; it included both LA-biased translation/RQC families and RA-biased matrix/developmental families. Metabolic and mitochondrial families were more often Moderate or Low, but broad cohort-dependence claims for translational families as a class are not supported. Consistency classes are evidence summaries, not causal claims.</w:t>
      </w:r>
    </w:p>
    <w:p>
      <w:pPr>
        <w:pStyle w:val="Heading2"/>
      </w:pPr>
      <w:r>
        <w:t>LA single-nucleus data resolve selective family localization</w:t>
      </w:r>
    </w:p>
    <w:p>
      <w:pPr>
        <w:jc w:val="both"/>
      </w:pPr>
      <w:r>
        <w:t>To place bulk remodeling in a cellular context, we analyzed LA single-nucleus RNA-seq from GSE255612 (18 AF and 16 non-fibrillating control donors) using donor-aware compartment pseudobulks across nine LA compartments: atrial cardiomyocytes, fibroblasts, endothelial cells, macrophages, lymphocytes, pericytes, vascular smooth muscle cells, adipocytes, and neuronal cells (Figure 3A). Frozen NCP program and family definitions were carried forward without reselection, and localization was evaluated by nominal permutation testing. Because this resource contains LA samples only, this layer was used to localize AF-associated family shifts within LA compartments rather than to retest the paired-chamber remodeling identified in bulk data.</w:t>
      </w:r>
    </w:p>
    <w:p>
      <w:pPr>
        <w:jc w:val="both"/>
      </w:pPr>
      <w:r>
        <w:t>At the family level (Figure 3B–C), localization was selective. Final carrier-relative localization classes comprised one Fidelity family (F10 GAG disease / TGF-β), two Relay families (F11 BMP signaling and F15 NTRK2 / TrkB), one Extension family (F16 Keratan sulfate), and 12 Below-detection families. F10 showed nominal Fidelity localization in fibroblasts; F11 showed nominal Relay localization in adipocytes; F15 showed nominal Relay localization in endothelial cells only; and F16 showed Extension involving fibroblasts and atrial cardiomyocytes. These localization calls are nominal and are not FDR-controlled discovery. Below-detection indicates that no included LA compartment met the preset support criteria and does not imply absence of biological remodeling.</w:t>
      </w:r>
    </w:p>
    <w:p>
      <w:pPr>
        <w:jc w:val="both"/>
      </w:pPr>
      <w:r>
        <w:t>Figure 3C summarizes the resulting class architecture, whereas Figure 3D provides donor-level examples for F15 and F16, illustrating Relay and Extension without expanding the non-Below set. Together, panels B–D show that LA compartment localization was selective: four of 16 families were non-Below-detection, spanning Fidelity, Relay, and Extension patterns. This layer therefore supplies cellular context for selected families rather than bi-chamber replication or causal validation of the bulk remodeling results.</w:t>
      </w:r>
    </w:p>
    <w:p>
      <w:pPr>
        <w:pStyle w:val="Heading2"/>
      </w:pPr>
      <w:r>
        <w:t>Cross-sectional duration analysis identifies selective chronicity trends</w:t>
      </w:r>
    </w:p>
    <w:p>
      <w:pPr>
        <w:jc w:val="both"/>
      </w:pPr>
      <w:r>
        <w:t>We next asked whether frozen family activity scores tracked AF duration in GSE41177. The primary analysis included left-atrial-appendage (LAA) samples from 12 AF donors with finite numeric month-coded duration (Figure 4A). Because this was not a paired LA–RA duration design, the analysis used frozen family activity scores rather than aCAIrel. Left atrial–pulmonary vein junction (LAPV) samples provided regional sensitivity only, and sinus-rhythm samples were not included in the final main-figure duration panels. Duration associations were interpreted as cross-sectional chronicity context.</w:t>
      </w:r>
    </w:p>
    <w:p>
      <w:pPr>
        <w:jc w:val="both"/>
      </w:pPr>
      <w:r>
        <w:t>Chronicity classes were assigned from the full-precision absolute LAA Spearman correlation, |ρ_LAA|; displayed rounding, permutation p values, bootstrap intervals, and LAPV estimates did not determine class (Figure 4B–C). The Strong-trend group comprised F2 Mito Ca²⁺ transport and F9 HS-GAG / bone / GPCR. Six families—F3, F7, F8, F10, F13, and F15—were Weak-trend, and the remaining eight were Stable. Strong-, Weak-, and Stable-trend labels summarize trend magnitude rather than statistical significance.</w:t>
      </w:r>
    </w:p>
    <w:p>
      <w:pPr>
        <w:jc w:val="both"/>
      </w:pPr>
      <w:r>
        <w:t>Figure 4D displays three representative families. F9 showed a Strong negative LAA duration trend (Spearman ρ = −0.420) and a same-sign negative LAPV sensitivity estimate (ρ = −0.161). F2 showed a Strong negative LAA trend (ρ = −0.564) but an opposite-sign positive LAPV estimate (ρ = 0.196), illustrating regional sign discordance. F15 showed a Weak-trend negative LAA association (ρ = −0.385) and a same-sign negative LAPV estimate (ρ = −0.186). Regional sign is a sensitivity descriptor only and is not interpreted as replication or failure.</w:t>
      </w:r>
    </w:p>
    <w:p>
      <w:pPr>
        <w:jc w:val="both"/>
      </w:pPr>
      <w:r>
        <w:t>Overall, duration associations were selective rather than global. Trend magnitude and regional sign agreement are distinct dimensions, and regional direction was not uniform across families. The analysis supplies cross-sectional chronicity context only and does not establish temporal progression, disease evolution, therapeutic response, or recurrence risk.</w:t>
      </w:r>
    </w:p>
    <w:p>
      <w:pPr>
        <w:pStyle w:val="Heading2"/>
      </w:pPr>
      <w:r>
        <w:t>Rule-based cross-layer triangulation prioritizes two NCP families</w:t>
      </w:r>
    </w:p>
    <w:p>
      <w:pPr>
        <w:jc w:val="both"/>
      </w:pPr>
      <w:r>
        <w:t>After evaluating the paired-bulk, LA single-nucleus, and duration layers separately, we placed their corrected family-level summaries on the frozen 16-family NCP topology in the canonical Figure 1D order, without fitting a merged latent model (Figure 5A–B). The healthy LA carrier prior from the Human Cell Atlas and the dominant bulk rewiring state were retained as contextual annotations. Path A used exactly three binary gates: High bulk cross-cohort consistency, a non-Below-detection LA single-nucleus class, and a non-Stable LAA duration class. The contextual annotations, GeoMx, and genetics did not contribute to the support count.</w:t>
      </w:r>
    </w:p>
    <w:p>
      <w:pPr>
        <w:jc w:val="both"/>
      </w:pPr>
      <w:r>
        <w:t>Cross-layer support was selective (Figure 5B–C). F10 GAG disease / TGF-β and F15 NTRK2 / TrkB satisfied all three gates and were assigned Path A. F9 HS-GAG / bone / GPCR satisfied the bulk and duration gates but remained Below-detection in the LA single-nucleus layer, yielding 2/3 support. Ten families satisfied one gate: F1, F12, and F14 through bulk consistency; F11 and F16 through LA single-nucleus localization; and F2, F3, F7, F8, and F13 through duration. F4, F5, and F6 satisfied none of the three gates. The resulting architecture therefore comprised two 3/3, one 2/3, ten 1/3, and three 0/3 families. Path A is a rule-based triage label across non-exchangeable evidence layers, not a joint statistical test or causal-validation claim.</w:t>
      </w:r>
    </w:p>
    <w:p>
      <w:pPr>
        <w:jc w:val="both"/>
      </w:pPr>
      <w:r>
        <w:t>GeoMx provided independent spatial context (Figure 5D). The full GSE261363 resource contained 48 regions of interest (ROIs) from four patients; the final panel used 24 eligible cardiac atrial-appendage DNA-positive ROIs. Across the eligible ROIs, F10 family-signature scores showed a nominal positive correlation with fibroblast-panel scores (Spearman ρ = 0.439, nominal p = 0.0318), and F15 scores showed a nominal positive correlation with macrophage-panel scores (ρ = 0.431, nominal p = 0.0354). F9 showed a nominal ROI-level AF-minus-SR difference (Δ = −0.033, Welch p = 0.0481). Multiple ROIs arose from each patient, and no patient-clustered or mixed-effects inference was applied. These nominal ROI-level summaries provide spatial context only and did not modify the Path A classification.</w:t>
      </w:r>
    </w:p>
    <w:p>
      <w:pPr>
        <w:pStyle w:val="Heading2"/>
      </w:pPr>
      <w:r>
        <w:t>Genetic follow-up reveals calibration-limited, non-nested traceability</w:t>
      </w:r>
    </w:p>
    <w:p>
      <w:pPr>
        <w:jc w:val="both"/>
      </w:pPr>
      <w:r>
        <w:t>We next evaluated 10 framework anchors together with PITX2 and KCNN3 AF calibration controls using the Yuan et al. 2025 cross-population AF GWAS (GWAS Catalog accession GCST90624411; corrected publication sample size: 252,438 AF cases and 1,959,739 controls) and GTEx left-atrial-appendage cis-eQTL data (Figure 6A). Seven of the 12 anchor windows contained local genome-wide AF associations. Only SMAD9 met the corrected atrial eGene criterion, and no anchor met the prespecified same-variant colocalization threshold of PP4 ≥ 0.70. SMAD9 therefore illustrates atrial eGene evidence without GWAS–eQTL colocalization. The same lack of colocalization support at PITX2 and KCNN3 helped calibrate the interpretation of the overall non-support.</w:t>
      </w:r>
    </w:p>
    <w:p>
      <w:pPr>
        <w:jc w:val="both"/>
      </w:pPr>
      <w:r>
        <w:t>Continuous posterior diagnostics reinforced this interpretation (Figure 6B). All 12 anchors were PP3-dominant, whereas PP4 remained below the support threshold. The frozen lead AF GWAS and atrial eQTL variants were separated by 0.46–1.92 Mb across the tested anchors. Lead separation was a descriptive companion diagnostic and was not used to calculate the colocalization posterior. Together, the high-PP3, low-PP4 pattern is consistent with distinct local association signals rather than supported same-variant bulk-LAA total-expression mediation.</w:t>
      </w:r>
    </w:p>
    <w:p>
      <w:pPr>
        <w:jc w:val="both"/>
      </w:pPr>
      <w:r>
        <w:t>At the family level, we compared the frozen leading-edge genes of 16 NCP families with four prespecified external AF gene sets, yielding 64 family–set tests against a background of 14,635 NCP-eligible genes (Figure 6C). Only five family–set cells contained any member overlap, involving two unique genes across three families. Four cells reflected CAV1 membership in both F3 Adipo-lipid axis and F13 Amino-acid metabolism across two common-risk or prioritized sets; the fifth reflected HEY2 membership in F9 HS-GAG / bone / GPCR and a regulatory set. No family–set enrichment survived BH-FDR correction. The repeated CAV1 cells reflect shared set membership rather than independent genetic observations, so these overlaps are traceability cues rather than family-level enrichment.</w:t>
      </w:r>
    </w:p>
    <w:p>
      <w:pPr>
        <w:jc w:val="both"/>
      </w:pPr>
      <w:r>
        <w:t>Finally, the non-nested traceability matrix summarized independent evidence dimensions without converting them into an ordinal tier or composite score (Figure 6D). Local AF GWAS, atrial eGene, and same-variant colocalization flags were present for 7/12, 1/12, and 0/12 anchors, respectively. Membership in risk or prioritized gene sets and regulatory annotations was present for 2/12 anchors in each category, whereas rare or functional membership was present for 0/12. These categories are not exchangeable and cannot be ordered or summed. Genetics did not enter Path A and is interpreted here as calibration-limited traceability for follow-up rather than causal validation or evidence excluding untested genetic or cis-regulatory mechanisms.</w:t>
      </w:r>
    </w:p>
    <w:p>
      <w:pPr>
        <w:pStyle w:val="Heading2"/>
      </w:pPr>
      <w:r>
        <w:t>Specificity, robustness, and methodological validity</w:t>
      </w:r>
    </w:p>
    <w:p>
      <w:pPr>
        <w:jc w:val="both"/>
      </w:pPr>
      <w:r>
        <w:t>Because the dual-axis interpretation rests on a small set of pre-frozen programs, we examined its specificity and methodological validity through a four-component falsification supplement and two methodology supplements (Supplementary Figs S8, S10, S11). Random size-matched gene-set permutations (1,000 per program) produced a non-trivial empirical p for the strongest single program (ECM proteoglycans empirical p = 0.10), and an axis-membership permutation (1,000 random 3:3 partitions of the six frozen support programs) yielded |gSTRUCT| empirical p = 0.33; both axes pooled negatively under any 3:3 partition. Six pre-registered negative-control pathways (HALLMARK_INFLAMMATORY_RESPONSE, KRAS_SIGNALING_UP, E2F_TARGETS for axis-specificity; REACTOME_OLFACTORY_SIGNALING_PATHWAY, KERATINIZATION, SENSORY_PERCEPTION_OF_TASTE for biological unrelatedness) sometimes matched a single statistic in magnitude (for example, REACTOME_KERATINIZATION pooled g = −1.05) but were accompanied by high cross-cohort heterogeneity (I² = 78 %) and a much weaker LAA-duration ρ (|ρ| ≤ 0.29). Specificity therefore arises from the joint combination of pooled effect direction, low cross-cohort heterogeneity, and a coherent LAA-duration association rather than from any single statistic. A leave-one-program-out (LOPO) test preserved the direction of both axes across all six removals (6 / 6).</w:t>
      </w:r>
    </w:p>
    <w:p>
      <w:pPr>
        <w:jc w:val="both"/>
      </w:pPr>
      <w:r>
        <w:t>The framework's pipeline was further validated through internal-consistency checks (Supplementary Fig. S10): NCP self-recovery on the healthy bulk reference produced a mean aCAIrel ≈ 1 for all thirty NCP pathway programs; donor-level direction stability was 8 / 8 healthy donors with aCAI &gt; 0 for every panel program; cross-method per-donor correlation between singscore and a mean-z scoring ranged from 0.52 to 0.93; and axis-pooled g was unchanged when singscore was replaced with mean-z (structural g = −0.57 / −0.79; both with I² = 0 %). External-style validation (Supplementary Fig. S11) showed that the pipeline recovered known axis effects with at least 92 % detection at a true effect of 0.3 in aCAIrel units, that the cohort-donor bootstrap of the dual-axis pooled g produced 95 % intervals consistent with and tighter than the Hartung–Knapp intervals from the axis meta-analysis (results/figure6_meta_axis.tsv), and that a classical limma per-chamber AF-vs-SR analysis agreed in direction with the framework in 25 / 30 program × cohort cells (83 %; 100 % in GSE115574), with discordant cells corresponding to near-zero classical effects. A reduced 5-gene-per-axis panel reproduced the full-axis donor-level composite (Spearman ρ = 0.55–0.90) and the cohort-level SR → AF centroid direction; the reduced metabolic panel did not, however, replace OXPHOS for chronicity and is therefore reported as a framework-feasibility check rather than a clinical classifier (Supplementary Fig. S9).</w:t>
      </w:r>
    </w:p>
    <w:p>
      <w:pPr>
        <w:jc w:val="both"/>
      </w:pPr>
      <w:r>
        <w:t>Sex-stratified sensitivity was constrained by data availability: GSE115574 lacked per-donor sex in the GEO record, GSE128188 contained only male donors, and only GSE79768 contained both sexes with sufficient AF and SR representation. Within GSE79768 the structural axis was directionally consistent in both sexes (Hedges' g = −0.76 in male donors, −0.27 in female donors), whereas the metabolic axis was too small to call. A cross-cohort sex-stratified meta-analysis was therefore underpowered (k ≤ 2 per stratum) and is not presented as a main-text result.</w:t>
      </w:r>
    </w:p>
    <w:p>
      <w:pPr>
        <w:spacing w:before="360"/>
      </w:pPr>
      <w:r>
        <w:rPr>
          <w:i/>
          <w:color w:val="666666"/>
          <w:sz w:val="18"/>
        </w:rPr>
        <w:t>End-of-Results note (not for typesetter): all numerical claims in this section are reproducible from the tab-separated deliverable files released with the manuscript (see Code availability) and are summarised per figure in the Methods text and in the multiple-testing-correction summary (Supplementary Table S2).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120"/>
    </w:pPr>
    <w:rPr>
      <w:rFonts w:ascii="Times New Roman" w:hAnsi="Times New Roman"/>
      <w:color w:val="1010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1A"/>
      <w:sz w:val="2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Arial" w:hAnsi="Arial"/>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