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Internal Push</w:t>
      </w:r>
      <w:r>
        <w:rPr>
          <w:b/>
          <w:sz w:val="52"/>
          <w:szCs w:val="52"/>
        </w:rPr>
        <w:t xml:space="preserve"> Service</w:t>
      </w:r>
      <w:r>
        <w:rPr>
          <w:rFonts w:hint="eastAsia"/>
          <w:b/>
          <w:sz w:val="52"/>
          <w:szCs w:val="52"/>
        </w:rPr>
        <w:t>技术简介</w:t>
      </w: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148751505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6"/>
            <w:ind w:left="240" w:right="240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"_Toc534817486"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环境需求</w:t>
          </w:r>
          <w:r>
            <w:tab/>
          </w:r>
          <w:r>
            <w:fldChar w:fldCharType="begin"/>
          </w:r>
          <w:r>
            <w:instrText xml:space="preserve"> PAGEREF _Toc534817486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"_Toc534817487" </w:instrText>
          </w:r>
          <w:r>
            <w:fldChar w:fldCharType="separate"/>
          </w:r>
          <w:r>
            <w:rPr>
              <w:rStyle w:val="12"/>
            </w:rPr>
            <w:t>1.1</w:t>
          </w:r>
          <w:r>
            <w:rPr>
              <w:rStyle w:val="12"/>
              <w:rFonts w:hint="eastAsia"/>
            </w:rPr>
            <w:t>网络带宽要求</w:t>
          </w:r>
          <w:r>
            <w:tab/>
          </w:r>
          <w:r>
            <w:fldChar w:fldCharType="begin"/>
          </w:r>
          <w:r>
            <w:instrText xml:space="preserve"> PAGEREF _Toc534817487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"_Toc534817488" </w:instrText>
          </w:r>
          <w:r>
            <w:fldChar w:fldCharType="separate"/>
          </w:r>
          <w:r>
            <w:rPr>
              <w:rStyle w:val="12"/>
            </w:rPr>
            <w:t>1.2</w:t>
          </w:r>
          <w:r>
            <w:rPr>
              <w:rStyle w:val="12"/>
              <w:rFonts w:hint="eastAsia"/>
            </w:rPr>
            <w:t>硬件配置要求</w:t>
          </w:r>
          <w:r>
            <w:tab/>
          </w:r>
          <w:r>
            <w:fldChar w:fldCharType="begin"/>
          </w:r>
          <w:r>
            <w:instrText xml:space="preserve"> PAGEREF _Toc534817488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"_Toc534817489" </w:instrText>
          </w:r>
          <w:r>
            <w:fldChar w:fldCharType="separate"/>
          </w:r>
          <w:r>
            <w:rPr>
              <w:rStyle w:val="12"/>
            </w:rPr>
            <w:t>1.3</w:t>
          </w:r>
          <w:r>
            <w:rPr>
              <w:rStyle w:val="12"/>
              <w:rFonts w:hint="eastAsia"/>
            </w:rPr>
            <w:t>软件配置要求</w:t>
          </w:r>
          <w:r>
            <w:tab/>
          </w:r>
          <w:r>
            <w:fldChar w:fldCharType="begin"/>
          </w:r>
          <w:r>
            <w:instrText xml:space="preserve"> PAGEREF _Toc534817489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"_Toc534817490"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Style w:val="12"/>
              <w:rFonts w:hint="eastAsia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_Toc534817490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"_Toc534817491" </w:instrText>
          </w:r>
          <w:r>
            <w:fldChar w:fldCharType="separate"/>
          </w:r>
          <w:r>
            <w:rPr>
              <w:rStyle w:val="12"/>
            </w:rPr>
            <w:t>2.1</w:t>
          </w:r>
          <w:r>
            <w:rPr>
              <w:rStyle w:val="12"/>
              <w:rFonts w:hint="eastAsia"/>
            </w:rPr>
            <w:t>服务器端</w:t>
          </w:r>
          <w:r>
            <w:tab/>
          </w:r>
          <w:r>
            <w:fldChar w:fldCharType="begin"/>
          </w:r>
          <w:r>
            <w:instrText xml:space="preserve"> PAGEREF _Toc534817491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"_Toc534817492" </w:instrText>
          </w:r>
          <w:r>
            <w:fldChar w:fldCharType="separate"/>
          </w:r>
          <w:r>
            <w:rPr>
              <w:rStyle w:val="12"/>
            </w:rPr>
            <w:t>2.2</w:t>
          </w:r>
          <w:r>
            <w:rPr>
              <w:rStyle w:val="12"/>
              <w:rFonts w:hint="eastAsia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_Toc534817492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"_Toc534817493"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Style w:val="12"/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_Toc534817493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"_Toc534817494" </w:instrText>
          </w:r>
          <w:r>
            <w:fldChar w:fldCharType="separate"/>
          </w:r>
          <w:r>
            <w:rPr>
              <w:rStyle w:val="12"/>
            </w:rPr>
            <w:t>3.1</w:t>
          </w:r>
          <w:r>
            <w:rPr>
              <w:rStyle w:val="12"/>
              <w:rFonts w:hint="eastAsia"/>
            </w:rPr>
            <w:t>网络监测</w:t>
          </w:r>
          <w:r>
            <w:tab/>
          </w:r>
          <w:r>
            <w:fldChar w:fldCharType="begin"/>
          </w:r>
          <w:r>
            <w:instrText xml:space="preserve"> PAGEREF _Toc534817494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"_Toc534817495" </w:instrText>
          </w:r>
          <w:r>
            <w:fldChar w:fldCharType="separate"/>
          </w:r>
          <w:r>
            <w:rPr>
              <w:rStyle w:val="12"/>
            </w:rPr>
            <w:t>3.2</w:t>
          </w:r>
          <w:r>
            <w:rPr>
              <w:rStyle w:val="12"/>
              <w:rFonts w:hint="eastAsia"/>
            </w:rPr>
            <w:t>消息服务</w:t>
          </w:r>
          <w:r>
            <w:tab/>
          </w:r>
          <w:r>
            <w:fldChar w:fldCharType="begin"/>
          </w:r>
          <w:r>
            <w:instrText xml:space="preserve"> PAGEREF _Toc534817495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"_Toc534817496" </w:instrText>
          </w:r>
          <w:r>
            <w:fldChar w:fldCharType="separate"/>
          </w:r>
          <w:r>
            <w:rPr>
              <w:rStyle w:val="12"/>
            </w:rPr>
            <w:t>3.3 VoIP</w:t>
          </w:r>
          <w:r>
            <w:rPr>
              <w:rStyle w:val="12"/>
              <w:rFonts w:hint="eastAsia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_Toc534817496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ind w:left="240" w:right="240"/>
          </w:pPr>
          <w:r>
            <w:fldChar w:fldCharType="end"/>
          </w:r>
        </w:p>
      </w:sdtContent>
    </w:sdt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  <w:ind w:leftChars="0" w:right="240"/>
      </w:pPr>
      <w:r>
        <w:t xml:space="preserve"> 架构概述</w:t>
      </w:r>
    </w:p>
    <w:p>
      <w:pPr>
        <w:spacing w:before="100" w:beforeAutospacing="1" w:after="100" w:afterAutospacing="1"/>
        <w:ind w:leftChars="0" w:rightChars="0" w:firstLine="357"/>
        <w:rPr>
          <w:szCs w:val="24"/>
        </w:rPr>
      </w:pPr>
      <w:r>
        <w:rPr>
          <w:szCs w:val="24"/>
        </w:rPr>
        <w:t>Internal Push Service部分功能主要包括两方面内容，对应到源码包中，对应fps和mec两包内容，分别简介如下：</w:t>
      </w:r>
    </w:p>
    <w:p>
      <w:pPr>
        <w:spacing w:before="100" w:beforeAutospacing="1" w:after="100" w:afterAutospacing="1"/>
        <w:ind w:leftChars="0" w:rightChars="0" w:firstLine="357"/>
        <w:rPr>
          <w:szCs w:val="24"/>
        </w:rPr>
      </w:pPr>
      <w:r>
        <w:rPr>
          <w:szCs w:val="24"/>
        </w:rPr>
        <w:t>FPS（Free Push Service）：基于开源项目mosquito进行二次开发的服务端程序，通讯协议采用IBM提出的MQTT消息传输协议。</w:t>
      </w:r>
    </w:p>
    <w:p>
      <w:pPr>
        <w:spacing w:before="100" w:beforeAutospacing="1" w:after="100" w:afterAutospacing="1"/>
        <w:ind w:leftChars="0" w:rightChars="0" w:firstLine="357"/>
        <w:rPr>
          <w:szCs w:val="24"/>
        </w:rPr>
      </w:pPr>
      <w:r>
        <w:rPr>
          <w:szCs w:val="24"/>
        </w:rPr>
        <w:t>MEC（Message Exchange Center）：主要负责VoIP系统中的消息交换，如新通话（NCL）、新消息（MMS）等。</w:t>
      </w:r>
    </w:p>
    <w:p>
      <w:pPr>
        <w:spacing w:before="100" w:beforeAutospacing="1" w:after="100" w:afterAutospacing="1"/>
        <w:ind w:leftChars="0" w:rightChars="0" w:firstLine="357"/>
        <w:rPr>
          <w:szCs w:val="24"/>
        </w:rPr>
      </w:pPr>
      <w:r>
        <w:rPr>
          <w:szCs w:val="24"/>
        </w:rPr>
        <w:t>下面章节进行详细说明。</w:t>
      </w:r>
    </w:p>
    <w:p>
      <w:pPr>
        <w:ind w:left="240" w:right="240" w:firstLine="420"/>
      </w:pPr>
    </w:p>
    <w:p>
      <w:pPr>
        <w:ind w:left="240" w:right="240" w:firstLine="420"/>
      </w:pPr>
    </w:p>
    <w:p>
      <w:pPr>
        <w:pStyle w:val="2"/>
        <w:ind w:left="240" w:right="240"/>
      </w:pPr>
      <w:bookmarkStart w:id="0" w:name="_Toc534817490"/>
      <w:r>
        <w:t>2.</w:t>
      </w:r>
      <w:r>
        <w:t xml:space="preserve"> </w:t>
      </w:r>
      <w:r>
        <w:rPr>
          <w:rFonts w:hint="eastAsia"/>
        </w:rPr>
        <w:t>架构</w:t>
      </w:r>
      <w:bookmarkEnd w:id="0"/>
      <w:r>
        <w:rPr>
          <w:rFonts w:hint="default"/>
        </w:rPr>
        <w:t>详细设计</w:t>
      </w:r>
    </w:p>
    <w:p>
      <w:pPr>
        <w:pStyle w:val="3"/>
        <w:ind w:left="240" w:right="240"/>
      </w:pPr>
      <w:bookmarkStart w:id="1" w:name="_Toc534817491"/>
      <w:r>
        <w:t>2.1</w:t>
      </w:r>
      <w:bookmarkEnd w:id="1"/>
      <w:r>
        <w:t xml:space="preserve"> FPS</w:t>
      </w:r>
    </w:p>
    <w:p>
      <w:r>
        <w:t>FPS负责推送通知给手机端用户，相应的手机端程序中，包含了支持MQTT协议的客户端程序（已经包含在so库中，使用c库方式进行封装），它是基于开源mosquito项目开发，通讯协议使用IBM的MQTT协议。</w:t>
      </w:r>
    </w:p>
    <w:p>
      <w:r>
        <w:t>特点：</w:t>
      </w:r>
    </w:p>
    <w:p>
      <w:r>
        <w:t>1&gt;使用消息订阅/发布模式，提供一对一的消息发布</w:t>
      </w:r>
    </w:p>
    <w:p>
      <w:r>
        <w:t>2&gt;使用TCP协议，保证消息可靠性</w:t>
      </w:r>
    </w:p>
    <w:p>
      <w:r>
        <w:t>3&gt;三种消息发布服务可选：至多一次/至少一次/只有一次</w:t>
      </w:r>
    </w:p>
    <w:p>
      <w:r>
        <w:t>4&gt;小型传输，开销很小</w:t>
      </w:r>
    </w:p>
    <w:p>
      <w:pPr>
        <w:pStyle w:val="4"/>
      </w:pPr>
      <w:r>
        <w:t>2.1.1 报文格式</w:t>
      </w:r>
    </w:p>
    <w:p>
      <w:r>
        <w:t>报文格式概述如下，详细请参阅网上MQTT标准协议格式。</w:t>
      </w:r>
    </w:p>
    <w:tbl>
      <w:tblPr>
        <w:tblStyle w:val="13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0" w:hRule="atLeast"/>
        </w:trPr>
        <w:tc>
          <w:tcPr>
            <w:tcW w:w="8840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F</w:t>
            </w:r>
            <w:r>
              <w:rPr>
                <w:rFonts w:hint="eastAsia" w:ascii="Verdana" w:hAnsi="Verdana" w:cs="Verdana"/>
                <w:sz w:val="21"/>
              </w:rPr>
              <w:t>ixed 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0" w:hRule="atLeast"/>
        </w:trPr>
        <w:tc>
          <w:tcPr>
            <w:tcW w:w="8840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V</w:t>
            </w:r>
            <w:r>
              <w:rPr>
                <w:rFonts w:hint="eastAsia" w:ascii="Verdana" w:hAnsi="Verdana" w:cs="Verdana"/>
                <w:sz w:val="21"/>
              </w:rPr>
              <w:t>ariable 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6" w:hRule="atLeast"/>
        </w:trPr>
        <w:tc>
          <w:tcPr>
            <w:tcW w:w="8840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P</w:t>
            </w:r>
            <w:r>
              <w:rPr>
                <w:rFonts w:hint="eastAsia" w:ascii="Verdana" w:hAnsi="Verdana" w:cs="Verdana"/>
                <w:sz w:val="21"/>
              </w:rPr>
              <w:t>ayload</w:t>
            </w:r>
          </w:p>
        </w:tc>
      </w:tr>
    </w:tbl>
    <w:p>
      <w:r>
        <w:t>Fix header：</w:t>
      </w:r>
    </w:p>
    <w:tbl>
      <w:tblPr>
        <w:tblStyle w:val="13"/>
        <w:tblW w:w="91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679"/>
        <w:gridCol w:w="679"/>
        <w:gridCol w:w="679"/>
        <w:gridCol w:w="680"/>
        <w:gridCol w:w="1252"/>
        <w:gridCol w:w="1425"/>
        <w:gridCol w:w="1292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8" w:hRule="atLeast"/>
        </w:trPr>
        <w:tc>
          <w:tcPr>
            <w:tcW w:w="959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bit</w:t>
            </w:r>
          </w:p>
        </w:tc>
        <w:tc>
          <w:tcPr>
            <w:tcW w:w="679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</w:p>
        </w:tc>
        <w:tc>
          <w:tcPr>
            <w:tcW w:w="679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79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80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5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3</w:t>
            </w:r>
          </w:p>
        </w:tc>
        <w:tc>
          <w:tcPr>
            <w:tcW w:w="1425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2         </w:t>
            </w:r>
          </w:p>
        </w:tc>
        <w:tc>
          <w:tcPr>
            <w:tcW w:w="1292" w:type="dxa"/>
            <w:vAlign w:val="top"/>
          </w:tcPr>
          <w:p>
            <w:pPr>
              <w:pStyle w:val="10"/>
              <w:spacing w:before="0" w:beforeAutospacing="0" w:after="0" w:afterAutospacing="0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46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0</w:t>
            </w:r>
          </w:p>
        </w:tc>
      </w:tr>
      <w:tr>
        <w:tblPrEx>
          <w:tblLayout w:type="fixed"/>
        </w:tblPrEx>
        <w:tc>
          <w:tcPr>
            <w:tcW w:w="959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yte 1</w:t>
            </w:r>
          </w:p>
        </w:tc>
        <w:tc>
          <w:tcPr>
            <w:tcW w:w="2717" w:type="dxa"/>
            <w:gridSpan w:val="4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Message  type</w:t>
            </w:r>
          </w:p>
        </w:tc>
        <w:tc>
          <w:tcPr>
            <w:tcW w:w="125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DUP flag</w:t>
            </w:r>
          </w:p>
        </w:tc>
        <w:tc>
          <w:tcPr>
            <w:tcW w:w="2717" w:type="dxa"/>
            <w:gridSpan w:val="2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Qos level</w:t>
            </w:r>
          </w:p>
        </w:tc>
        <w:tc>
          <w:tcPr>
            <w:tcW w:w="1546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RETAIN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2</w:t>
            </w:r>
          </w:p>
        </w:tc>
        <w:tc>
          <w:tcPr>
            <w:tcW w:w="8232" w:type="dxa"/>
            <w:gridSpan w:val="8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    Remaining Length</w:t>
            </w:r>
          </w:p>
        </w:tc>
      </w:tr>
    </w:tbl>
    <w:p>
      <w:pPr>
        <w:ind w:left="240" w:right="240"/>
      </w:pPr>
      <w:r>
        <w:t>Message Type：</w:t>
      </w:r>
    </w:p>
    <w:tbl>
      <w:tblPr>
        <w:tblStyle w:val="13"/>
        <w:tblW w:w="93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2454"/>
        <w:gridCol w:w="4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b/>
                <w:bCs/>
                <w:sz w:val="21"/>
              </w:rPr>
              <w:t xml:space="preserve">Mnemonic </w:t>
            </w:r>
            <w:r>
              <w:rPr>
                <w:rFonts w:hint="eastAsia" w:ascii="Verdana" w:hAnsi="Verdana" w:cs="Verdana"/>
                <w:b/>
                <w:bCs/>
                <w:sz w:val="21"/>
              </w:rPr>
              <w:t xml:space="preserve">   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b/>
                <w:bCs/>
                <w:sz w:val="21"/>
              </w:rPr>
              <w:t>Enumeration</w:t>
            </w:r>
            <w:r>
              <w:rPr>
                <w:rFonts w:hint="eastAsia" w:ascii="Verdana" w:hAnsi="Verdana" w:cs="Verdana"/>
                <w:b/>
                <w:bCs/>
                <w:sz w:val="21"/>
              </w:rPr>
              <w:t xml:space="preserve">   </w:t>
            </w:r>
            <w:r>
              <w:rPr>
                <w:rFonts w:ascii="Verdana" w:hAnsi="Verdana" w:cs="Verdana"/>
                <w:b/>
                <w:bCs/>
                <w:sz w:val="21"/>
              </w:rPr>
              <w:t xml:space="preserve"> </w:t>
            </w:r>
          </w:p>
        </w:tc>
        <w:tc>
          <w:tcPr>
            <w:tcW w:w="4877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Verdana" w:hAnsi="Verdana" w:cs="Verdana"/>
                <w:b/>
                <w:bCs/>
                <w:kern w:val="0"/>
              </w:rPr>
            </w:pPr>
            <w:r>
              <w:rPr>
                <w:rFonts w:ascii="Verdana" w:hAnsi="Verdana" w:cs="Verdana"/>
                <w:b/>
                <w:bCs/>
                <w:kern w:val="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</w:rPr>
              <w:t>Reserved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</w:rPr>
              <w:t>CONNECT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</w:rPr>
              <w:t>Client request to connect to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</w:rPr>
              <w:t>CONNACK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</w:rPr>
              <w:t>Connect Acknowledgment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</w:rPr>
              <w:t>PUBLISH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</w:rPr>
              <w:t>Publish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</w:rPr>
              <w:t>PUBACK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</w:rPr>
              <w:t>Publish Acknowledgment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PUBREC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5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Publish Received (assured delivery part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PUBREL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Publish Release (assured delivery part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PUBCOMP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Publish Complete (assured delivery part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SUBSCRIBE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Client Subscribe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SUBACK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Subscribe Acknowledgment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UNSUBSCRIBE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Client Unsubscribe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UNSUBACK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Unsubscribe Acknowledgment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PINGREQ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PING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PINGRESP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PING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DISCONNECT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Client is Disconnecting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2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Reserved</w:t>
            </w:r>
          </w:p>
        </w:tc>
        <w:tc>
          <w:tcPr>
            <w:tcW w:w="2454" w:type="dxa"/>
            <w:vAlign w:val="top"/>
          </w:tcPr>
          <w:p>
            <w:pPr>
              <w:pStyle w:val="10"/>
              <w:spacing w:before="0" w:beforeAutospacing="0" w:after="0" w:afterAutospacing="0"/>
              <w:ind w:firstLine="735" w:firstLineChars="3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4877" w:type="dxa"/>
            <w:vAlign w:val="top"/>
          </w:tcPr>
          <w:p>
            <w:pPr>
              <w:pStyle w:val="10"/>
              <w:spacing w:before="0" w:beforeAutospacing="0" w:after="0" w:afterAutospacing="0"/>
              <w:rPr>
                <w:rFonts w:ascii="Verdana" w:hAnsi="Verdana" w:cs="Verdana"/>
                <w:sz w:val="21"/>
              </w:rPr>
            </w:pPr>
            <w:r>
              <w:rPr>
                <w:rFonts w:ascii="Verdana" w:hAnsi="Verdana" w:cs="Verdana"/>
                <w:sz w:val="21"/>
              </w:rPr>
              <w:t>Reserved</w:t>
            </w:r>
          </w:p>
        </w:tc>
      </w:tr>
    </w:tbl>
    <w:p>
      <w:pPr>
        <w:ind w:left="240" w:right="240"/>
      </w:pPr>
      <w:r>
        <w:t>...</w:t>
      </w:r>
    </w:p>
    <w:p>
      <w:pPr>
        <w:ind w:left="240" w:right="240"/>
      </w:pPr>
    </w:p>
    <w:p>
      <w:pPr>
        <w:ind w:left="240" w:right="240"/>
      </w:pPr>
    </w:p>
    <w:p>
      <w:pPr>
        <w:ind w:left="240" w:right="240"/>
      </w:pPr>
    </w:p>
    <w:p>
      <w:pPr>
        <w:pStyle w:val="3"/>
        <w:ind w:left="240" w:right="240"/>
      </w:pPr>
      <w:bookmarkStart w:id="2" w:name="_Toc534817492"/>
      <w:r>
        <w:t>2.2</w:t>
      </w:r>
      <w:bookmarkEnd w:id="2"/>
      <w:r>
        <w:t xml:space="preserve"> MEC</w:t>
      </w:r>
    </w:p>
    <w:p>
      <w:r>
        <w:t>MEC主要负责VoIP系统中的消息交换部分，组成如下：</w:t>
      </w:r>
    </w:p>
    <w:p>
      <w:r>
        <w:drawing>
          <wp:inline distT="0" distB="0" distL="114300" distR="114300">
            <wp:extent cx="4973955" cy="30194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right="240" w:rightChars="100" w:hanging="420" w:firstLineChars="0"/>
      </w:pPr>
      <w:r>
        <w:t>MEC API：负责接收来自客户端的推送消息，接口为HTTP，它将接受到的消息，传送给MEC模块；</w:t>
      </w:r>
    </w:p>
    <w:p>
      <w:pPr>
        <w:numPr>
          <w:ilvl w:val="0"/>
          <w:numId w:val="2"/>
        </w:numPr>
        <w:ind w:left="420" w:leftChars="0" w:right="240" w:rightChars="100" w:hanging="420" w:firstLineChars="0"/>
      </w:pPr>
      <w:r>
        <w:t>Message Dispatcher：负责消息通知的分发，和消息体的存储，接口为TCP，基本的操作逻辑有：</w:t>
      </w:r>
    </w:p>
    <w:p>
      <w:pPr>
        <w:widowControl w:val="0"/>
        <w:numPr>
          <w:numId w:val="0"/>
        </w:numPr>
        <w:spacing w:line="480" w:lineRule="auto"/>
        <w:ind w:right="240" w:rightChars="100" w:firstLine="420" w:firstLineChars="0"/>
      </w:pPr>
      <w:r>
        <w:t>Put：首先将收到的消息放入Message Center中，同时生成一条通知消息，通过APNS/FPS/FCM等推送服务，推送给各平台客户端，通知各平台来拉取消息；</w:t>
      </w:r>
    </w:p>
    <w:p>
      <w:pPr>
        <w:widowControl w:val="0"/>
        <w:numPr>
          <w:numId w:val="0"/>
        </w:numPr>
        <w:spacing w:line="480" w:lineRule="auto"/>
        <w:ind w:right="240" w:rightChars="100" w:firstLine="420" w:firstLineChars="0"/>
      </w:pPr>
      <w:r>
        <w:t>Get：从Message Center中得到某客户的所有消息（可配置消息过期策略，默认保存15天）；</w:t>
      </w:r>
    </w:p>
    <w:p>
      <w:pPr>
        <w:widowControl w:val="0"/>
        <w:numPr>
          <w:numId w:val="0"/>
        </w:numPr>
        <w:spacing w:line="480" w:lineRule="auto"/>
        <w:ind w:right="240" w:rightChars="100" w:firstLine="420" w:firstLineChars="0"/>
      </w:pPr>
      <w:r>
        <w:t>Ack：确认消息，确认过的消息，从Message Center中进行物理删除。</w:t>
      </w:r>
    </w:p>
    <w:p>
      <w:pPr>
        <w:numPr>
          <w:ilvl w:val="0"/>
          <w:numId w:val="2"/>
        </w:numPr>
        <w:ind w:left="420" w:leftChars="0" w:right="240" w:rightChars="100" w:hanging="420" w:firstLineChars="0"/>
      </w:pPr>
      <w:r>
        <w:t>Message Center：消息体的存储中心，负责存储消息体；</w:t>
      </w:r>
    </w:p>
    <w:p>
      <w:pPr>
        <w:numPr>
          <w:ilvl w:val="0"/>
          <w:numId w:val="2"/>
        </w:numPr>
        <w:ind w:left="420" w:leftChars="0" w:right="240" w:rightChars="100" w:hanging="420" w:firstLineChars="0"/>
      </w:pPr>
      <w:r>
        <w:t>PUSH Client：负责将消息通知推送给各平台的客户端；</w:t>
      </w:r>
    </w:p>
    <w:p>
      <w:pPr>
        <w:pStyle w:val="4"/>
        <w:ind w:left="240" w:right="240"/>
      </w:pPr>
      <w:r>
        <w:t xml:space="preserve">2.2.1 </w:t>
      </w:r>
      <w:r>
        <w:t>Message Dispatcher</w:t>
      </w:r>
    </w:p>
    <w:p>
      <w:r>
        <w:t>Message Dispatcher有三个主要接口：put、get、ack，各接口功能如上述。</w:t>
      </w:r>
    </w:p>
    <w:p>
      <w:pPr>
        <w:pStyle w:val="4"/>
        <w:ind w:left="240" w:right="240"/>
      </w:pPr>
      <w:r>
        <w:t>2.2.2</w:t>
      </w:r>
      <w:r>
        <w:t xml:space="preserve"> MEC API与MEC通信协议</w:t>
      </w:r>
    </w:p>
    <w:p>
      <w:pPr>
        <w:ind w:left="240" w:right="240"/>
      </w:pPr>
      <w:r>
        <w:t>MEC API模块与MEC Dispatcher之间使用TCP进行通信，采用文本格式的协议：</w:t>
      </w:r>
    </w:p>
    <w:p>
      <w:pPr>
        <w:numPr>
          <w:ilvl w:val="0"/>
          <w:numId w:val="3"/>
        </w:numPr>
        <w:ind w:left="420" w:leftChars="0" w:right="240" w:rightChars="100" w:firstLine="0" w:firstLineChars="0"/>
      </w:pPr>
      <w:r>
        <w:t>命令/响应均放到同一行中，并且以“\n”结尾</w:t>
      </w:r>
    </w:p>
    <w:p>
      <w:pPr>
        <w:numPr>
          <w:ilvl w:val="0"/>
          <w:numId w:val="3"/>
        </w:numPr>
        <w:ind w:left="420" w:leftChars="0" w:right="240" w:rightChars="100" w:firstLine="0" w:firstLineChars="0"/>
      </w:pPr>
      <w:r>
        <w:t>每个部分用空格分隔</w:t>
      </w:r>
    </w:p>
    <w:p>
      <w:pPr>
        <w:pStyle w:val="4"/>
        <w:ind w:left="240" w:right="240"/>
      </w:pPr>
      <w:r>
        <w:t xml:space="preserve">2.2.3 </w:t>
      </w:r>
      <w:r>
        <w:t>发送消息（SND）</w:t>
      </w:r>
    </w:p>
    <w:p>
      <w:pPr>
        <w:ind w:left="240" w:right="240"/>
      </w:pPr>
      <w:r>
        <w:t>命令格式：</w:t>
      </w:r>
    </w:p>
    <w:tbl>
      <w:tblPr>
        <w:tblStyle w:val="13"/>
        <w:tblW w:w="9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97" w:type="dxa"/>
            <w:shd w:val="clear" w:color="auto" w:fill="auto"/>
            <w:vAlign w:val="top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SND SENDER_ID SENDER_NAME DEST_MID PUSH_TO APPNAME PROPERTIES TTL TYPE MESSAGE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t xml:space="preserve"> CAPABILITY</w:t>
            </w:r>
          </w:p>
        </w:tc>
      </w:tr>
    </w:tbl>
    <w:p>
      <w:pPr>
        <w:ind w:right="240"/>
      </w:pPr>
      <w:r>
        <w:t>字段解释：</w:t>
      </w:r>
    </w:p>
    <w:tbl>
      <w:tblPr>
        <w:tblStyle w:val="13"/>
        <w:tblW w:w="91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138"/>
        <w:gridCol w:w="5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2138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5568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格式和含义</w:t>
            </w:r>
          </w:p>
        </w:tc>
      </w:tr>
      <w:tr>
        <w:tblPrEx>
          <w:tblLayout w:type="fixed"/>
        </w:tblPrEx>
        <w:tc>
          <w:tcPr>
            <w:tcW w:w="1485" w:type="dxa"/>
            <w:vMerge w:val="restart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SND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表示这个一个SND（发送消息）指令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SENDER_ID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发送者的</w:t>
            </w:r>
            <w:r>
              <w:rPr>
                <w:rFonts w:hint="default"/>
                <w:sz w:val="18"/>
                <w:szCs w:val="18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SENDER_NAME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暂时未用到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DEST_MID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接收端MID，一次一个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PUSH_TO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发送到哪种Push Service中。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1：APNS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2：C2DM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4：FPS</w:t>
            </w:r>
            <w:r>
              <w:rPr>
                <w:rFonts w:hint="default"/>
                <w:sz w:val="18"/>
                <w:szCs w:val="18"/>
              </w:rPr>
              <w:t>（目前系统只有这种方式推送）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如果=0，则消息会被丢弃，并且返回SUCCESS。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APPNAME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应用程序名称，字符串格式。</w:t>
            </w:r>
            <w:r>
              <w:rPr>
                <w:rFonts w:hint="default"/>
                <w:sz w:val="18"/>
                <w:szCs w:val="18"/>
              </w:rPr>
              <w:t>固定</w:t>
            </w:r>
            <w:r>
              <w:rPr>
                <w:rFonts w:hint="eastAsia"/>
                <w:sz w:val="18"/>
                <w:szCs w:val="18"/>
              </w:rPr>
              <w:t>ipphone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PROPERTIES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消息附加的信息，json 格式的字符串。如果没有附加消息，则填："{}"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TTL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消息保存时间，单位为秒，如300即为保持5分钟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消息类型，如 NCL、MMS 等，字符串类型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消息正文，注意不能有空格，不能有\n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Align w:val="top"/>
          </w:tcPr>
          <w:p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CAPABILITY</w:t>
            </w:r>
          </w:p>
        </w:tc>
        <w:tc>
          <w:tcPr>
            <w:tcW w:w="5568" w:type="dxa"/>
            <w:vAlign w:val="top"/>
          </w:tcPr>
          <w:p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接收者的capability，可以为空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返回值代码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SUCCESS （成功）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 INVALID_COMMAND （命令格式不对）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5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556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返回值的描述</w:t>
            </w:r>
          </w:p>
        </w:tc>
      </w:tr>
    </w:tbl>
    <w:p>
      <w:pPr>
        <w:ind w:left="240" w:right="240"/>
      </w:pPr>
    </w:p>
    <w:p>
      <w:pPr>
        <w:pStyle w:val="4"/>
        <w:ind w:left="240" w:right="240"/>
      </w:pPr>
      <w:r>
        <w:t xml:space="preserve">2.2.4 </w:t>
      </w:r>
      <w:r>
        <w:t>获取消息（GET）</w:t>
      </w:r>
    </w:p>
    <w:p>
      <w:pPr>
        <w:ind w:left="240" w:right="240"/>
      </w:pPr>
      <w:r>
        <w:t>命令格式：</w:t>
      </w:r>
    </w:p>
    <w:tbl>
      <w:tblPr>
        <w:tblStyle w:val="13"/>
        <w:tblW w:w="91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91" w:type="dxa"/>
            <w:shd w:val="clear" w:color="auto" w:fill="auto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 MY_MID APPNAME</w:t>
            </w:r>
          </w:p>
        </w:tc>
      </w:tr>
    </w:tbl>
    <w:p>
      <w:pPr>
        <w:ind w:left="0" w:leftChars="0" w:right="240" w:firstLine="0" w:firstLineChars="0"/>
      </w:pPr>
    </w:p>
    <w:p>
      <w:pPr>
        <w:ind w:left="240" w:right="240"/>
      </w:pPr>
      <w:r>
        <w:t>字段解释：</w:t>
      </w:r>
    </w:p>
    <w:tbl>
      <w:tblPr>
        <w:tblStyle w:val="13"/>
        <w:tblW w:w="9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969"/>
        <w:gridCol w:w="5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4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969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5574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格式和含义</w:t>
            </w:r>
          </w:p>
        </w:tc>
      </w:tr>
      <w:tr>
        <w:tblPrEx>
          <w:tblLayout w:type="fixed"/>
        </w:tblPrEx>
        <w:tc>
          <w:tcPr>
            <w:tcW w:w="1654" w:type="dxa"/>
            <w:vMerge w:val="restart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</w:p>
        </w:tc>
        <w:tc>
          <w:tcPr>
            <w:tcW w:w="1969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557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表示这个一个GET（获取消息）指令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4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69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MY_MID</w:t>
            </w:r>
          </w:p>
        </w:tc>
        <w:tc>
          <w:tcPr>
            <w:tcW w:w="557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获取消息者的MID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4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69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APPNAME</w:t>
            </w:r>
          </w:p>
        </w:tc>
        <w:tc>
          <w:tcPr>
            <w:tcW w:w="557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应用程序名称，字符串格式</w:t>
            </w:r>
            <w:r>
              <w:rPr>
                <w:rFonts w:hint="default"/>
                <w:sz w:val="18"/>
                <w:szCs w:val="18"/>
              </w:rPr>
              <w:t>，固定使用</w:t>
            </w:r>
            <w:r>
              <w:rPr>
                <w:rFonts w:hint="eastAsia"/>
                <w:sz w:val="18"/>
                <w:szCs w:val="18"/>
              </w:rPr>
              <w:t>ipphone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1969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返回值格式见下面的说明</w:t>
            </w:r>
          </w:p>
        </w:tc>
      </w:tr>
    </w:tbl>
    <w:p>
      <w:pPr>
        <w:ind w:left="240" w:right="240"/>
      </w:pPr>
      <w:r>
        <w:t>如果有消息，则返回：</w:t>
      </w:r>
    </w:p>
    <w:tbl>
      <w:tblPr>
        <w:tblStyle w:val="13"/>
        <w:tblW w:w="9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9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SUCCESS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msg 是 key，内容分为两部分，用逗号隔开。前面是序号，后面是实际消息内容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msg=123,NIC,xxx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msg=124,NVM,xxx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msg=125,NVM,xxx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…</w:t>
            </w:r>
          </w:p>
        </w:tc>
      </w:tr>
    </w:tbl>
    <w:p>
      <w:pPr>
        <w:ind w:left="240" w:right="240"/>
      </w:pPr>
      <w:r>
        <w:t>如果没有消息，则返回：</w:t>
      </w:r>
    </w:p>
    <w:tbl>
      <w:tblPr>
        <w:tblStyle w:val="13"/>
        <w:tblW w:w="9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9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11002 NO_MESSAGE</w:t>
            </w:r>
          </w:p>
        </w:tc>
      </w:tr>
    </w:tbl>
    <w:p>
      <w:pPr>
        <w:ind w:left="240" w:right="240"/>
      </w:pPr>
    </w:p>
    <w:p>
      <w:pPr>
        <w:pStyle w:val="4"/>
        <w:ind w:left="240" w:right="240"/>
      </w:pPr>
      <w:r>
        <w:t xml:space="preserve">2.2.5 </w:t>
      </w:r>
      <w:r>
        <w:t>确认消息（ACK）</w:t>
      </w:r>
    </w:p>
    <w:p>
      <w:pPr>
        <w:ind w:left="240" w:right="240"/>
        <w:rPr>
          <w:rFonts w:hint="eastAsia"/>
        </w:rPr>
      </w:pPr>
      <w:r>
        <w:rPr>
          <w:rFonts w:hint="eastAsia"/>
        </w:rPr>
        <w:t>此部分用于客户端与服务器进行长链接，以接收服务端或其他客户端的实时推送。</w:t>
      </w:r>
    </w:p>
    <w:tbl>
      <w:tblPr>
        <w:tblStyle w:val="13"/>
        <w:tblW w:w="91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91" w:type="dxa"/>
            <w:shd w:val="clear" w:color="auto" w:fill="auto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ACK MY_MID APPNAME SERIAL</w:t>
            </w:r>
          </w:p>
        </w:tc>
      </w:tr>
    </w:tbl>
    <w:p>
      <w:pPr>
        <w:ind w:left="240" w:right="240"/>
        <w:rPr>
          <w:rFonts w:hint="default"/>
        </w:rPr>
      </w:pPr>
      <w:r>
        <w:rPr>
          <w:rFonts w:hint="default"/>
        </w:rPr>
        <w:t>字段解释：</w:t>
      </w:r>
    </w:p>
    <w:tbl>
      <w:tblPr>
        <w:tblStyle w:val="13"/>
        <w:tblW w:w="9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631"/>
        <w:gridCol w:w="5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4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方向</w:t>
            </w:r>
          </w:p>
        </w:tc>
        <w:tc>
          <w:tcPr>
            <w:tcW w:w="1631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5912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格式和含义</w:t>
            </w:r>
          </w:p>
        </w:tc>
      </w:tr>
      <w:tr>
        <w:tblPrEx>
          <w:tblLayout w:type="fixed"/>
        </w:tblPrEx>
        <w:tc>
          <w:tcPr>
            <w:tcW w:w="1654" w:type="dxa"/>
            <w:vMerge w:val="restart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</w:p>
        </w:tc>
        <w:tc>
          <w:tcPr>
            <w:tcW w:w="1631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ACK</w:t>
            </w:r>
          </w:p>
        </w:tc>
        <w:tc>
          <w:tcPr>
            <w:tcW w:w="5912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表示这个一个GET（获取消息）指令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4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MY_MID</w:t>
            </w:r>
          </w:p>
        </w:tc>
        <w:tc>
          <w:tcPr>
            <w:tcW w:w="5912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获取消息者的MID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4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APPNAME</w:t>
            </w:r>
          </w:p>
        </w:tc>
        <w:tc>
          <w:tcPr>
            <w:tcW w:w="5912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应用程序名称，字符串格式</w:t>
            </w:r>
            <w:r>
              <w:rPr>
                <w:rFonts w:hint="default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ipphone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4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SERIAL</w:t>
            </w:r>
          </w:p>
        </w:tc>
        <w:tc>
          <w:tcPr>
            <w:tcW w:w="5912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确认的消息序号。所有序号 &lt;= SERIAL的消息，将会被物理删除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4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1631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912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有两个结果：</w:t>
            </w:r>
          </w:p>
          <w:p>
            <w:pPr>
              <w:pStyle w:val="21"/>
              <w:numPr>
                <w:ilvl w:val="0"/>
                <w:numId w:val="4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该用户的队列中已经没有消息了，返回：0 SUCCESS</w:t>
            </w:r>
          </w:p>
          <w:p>
            <w:pPr>
              <w:pStyle w:val="21"/>
              <w:numPr>
                <w:ilvl w:val="0"/>
                <w:numId w:val="4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该用户的队列中还有消息，返回：</w:t>
            </w:r>
            <w:r>
              <w:rPr>
                <w:sz w:val="18"/>
                <w:szCs w:val="18"/>
              </w:rPr>
              <w:t>11003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HAS_MESSAGE</w:t>
            </w:r>
          </w:p>
        </w:tc>
      </w:tr>
    </w:tbl>
    <w:p>
      <w:pPr>
        <w:ind w:left="240" w:right="240"/>
        <w:rPr>
          <w:rFonts w:hint="eastAsia"/>
        </w:rPr>
      </w:pPr>
    </w:p>
    <w:p>
      <w:pPr>
        <w:pStyle w:val="4"/>
        <w:ind w:left="240" w:right="240"/>
      </w:pPr>
      <w:r>
        <w:t>2.2.</w:t>
      </w:r>
      <w:r>
        <w:t>6</w:t>
      </w:r>
      <w:r>
        <w:t xml:space="preserve"> </w:t>
      </w:r>
      <w:r>
        <w:t>返回值和错误代码</w:t>
      </w:r>
    </w:p>
    <w:p>
      <w:r>
        <w:t>返回值格式为：数字+空格+说明字符串。详细定义如下：</w:t>
      </w:r>
    </w:p>
    <w:tbl>
      <w:tblPr>
        <w:tblStyle w:val="13"/>
        <w:tblW w:w="9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470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0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错误代码</w:t>
            </w:r>
          </w:p>
        </w:tc>
        <w:tc>
          <w:tcPr>
            <w:tcW w:w="2470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5227" w:type="dxa"/>
            <w:shd w:val="pct10" w:color="auto" w:fill="auto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0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470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5227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0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</w:t>
            </w:r>
          </w:p>
        </w:tc>
        <w:tc>
          <w:tcPr>
            <w:tcW w:w="2470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INVALID_COMMAND</w:t>
            </w:r>
          </w:p>
        </w:tc>
        <w:tc>
          <w:tcPr>
            <w:tcW w:w="5227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非法的命令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0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11001</w:t>
            </w:r>
          </w:p>
        </w:tc>
        <w:tc>
          <w:tcPr>
            <w:tcW w:w="2470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INTERNAL_ERROR</w:t>
            </w:r>
          </w:p>
        </w:tc>
        <w:tc>
          <w:tcPr>
            <w:tcW w:w="5227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服务器内部发生了异常，需要到MEC的error log文件去查看具体原因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0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11002</w:t>
            </w:r>
          </w:p>
        </w:tc>
        <w:tc>
          <w:tcPr>
            <w:tcW w:w="2470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NO_MESSAGE</w:t>
            </w:r>
          </w:p>
        </w:tc>
        <w:tc>
          <w:tcPr>
            <w:tcW w:w="5227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没有消息。客户端执行GET操作时，如果没有对应用户的消息，则返回这个代码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0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11003</w:t>
            </w:r>
          </w:p>
        </w:tc>
        <w:tc>
          <w:tcPr>
            <w:tcW w:w="2470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HAS_MESSAGE</w:t>
            </w:r>
          </w:p>
        </w:tc>
        <w:tc>
          <w:tcPr>
            <w:tcW w:w="5227" w:type="dxa"/>
            <w:shd w:val="clear" w:color="auto" w:fill="auto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用户在执行了ACK将消息确认后，如果队列中又有了新的消息，则返回这个代码。客户端需要再取一次消息，直到返回11002为止。</w:t>
            </w:r>
          </w:p>
        </w:tc>
      </w:tr>
    </w:tbl>
    <w:p/>
    <w:p>
      <w:pPr>
        <w:ind w:left="240" w:right="240"/>
      </w:pPr>
    </w:p>
    <w:p>
      <w:pPr>
        <w:ind w:left="240" w:right="240"/>
      </w:pPr>
      <w:bookmarkStart w:id="3" w:name="_GoBack"/>
      <w:bookmarkEnd w:id="3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">
    <w:altName w:val="苹方-简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PMingLiU">
    <w:altName w:val="苹方-简"/>
    <w:panose1 w:val="02020300000000000000"/>
    <w:charset w:val="00"/>
    <w:family w:val="roman"/>
    <w:pitch w:val="default"/>
    <w:sig w:usb0="00000000" w:usb1="00000000" w:usb2="00000016" w:usb3="00000000" w:csb0="00100001" w:csb1="00000000"/>
  </w:font>
  <w:font w:name="Futura MdCn BT">
    <w:altName w:val="苹方-简"/>
    <w:panose1 w:val="020B0506020204030203"/>
    <w:charset w:val="00"/>
    <w:family w:val="swiss"/>
    <w:pitch w:val="default"/>
    <w:sig w:usb0="00000000" w:usb1="00000000" w:usb2="00000000" w:usb3="00000000" w:csb0="0000001B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DFKai-SB">
    <w:altName w:val="苹方-简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Estrangelo Edessa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6292"/>
    <w:multiLevelType w:val="multilevel"/>
    <w:tmpl w:val="1BD162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8384E"/>
    <w:multiLevelType w:val="multilevel"/>
    <w:tmpl w:val="3E88384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A4C3BF"/>
    <w:multiLevelType w:val="singleLevel"/>
    <w:tmpl w:val="5CA4C3B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CA4C87B"/>
    <w:multiLevelType w:val="singleLevel"/>
    <w:tmpl w:val="5CA4C87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1D0D9B"/>
    <w:rsid w:val="002A0205"/>
    <w:rsid w:val="002B1D41"/>
    <w:rsid w:val="002C492D"/>
    <w:rsid w:val="002F1897"/>
    <w:rsid w:val="003617AB"/>
    <w:rsid w:val="0073272F"/>
    <w:rsid w:val="008D169E"/>
    <w:rsid w:val="008E01EA"/>
    <w:rsid w:val="0095325B"/>
    <w:rsid w:val="00B73FE2"/>
    <w:rsid w:val="00CC179F"/>
    <w:rsid w:val="00CC1855"/>
    <w:rsid w:val="00D10153"/>
    <w:rsid w:val="00DE3D89"/>
    <w:rsid w:val="00E42759"/>
    <w:rsid w:val="00F02FC4"/>
    <w:rsid w:val="00F040F2"/>
    <w:rsid w:val="00F466B8"/>
    <w:rsid w:val="7AEBD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left="100" w:leftChars="100" w:right="100" w:rightChars="10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Normal (Web)"/>
    <w:basedOn w:val="1"/>
    <w:unhideWhenUsed/>
    <w:uiPriority w:val="99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7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0">
    <w:name w:val="页脚 Char"/>
    <w:basedOn w:val="11"/>
    <w:link w:val="6"/>
    <w:qFormat/>
    <w:uiPriority w:val="99"/>
    <w:rPr>
      <w:sz w:val="18"/>
      <w:szCs w:val="18"/>
    </w:rPr>
  </w:style>
  <w:style w:type="paragraph" w:customStyle="1" w:styleId="21">
    <w:name w:val="_Style 2"/>
    <w:basedOn w:val="1"/>
    <w:qFormat/>
    <w:uiPriority w:val="34"/>
    <w:pPr>
      <w:ind w:firstLine="420" w:firstLineChars="200"/>
      <w:jc w:val="both"/>
    </w:pPr>
    <w:rPr>
      <w:rFonts w:ascii="Calibri" w:hAnsi="Calibri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337</Words>
  <Characters>1924</Characters>
  <Lines>16</Lines>
  <Paragraphs>4</Paragraphs>
  <ScaleCrop>false</ScaleCrop>
  <LinksUpToDate>false</LinksUpToDate>
  <CharactersWithSpaces>2257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2019-01-20T11:00:00Z</dcterms:created>
  <dc:creator>Xiaofan</dc:creator>
  <cp:lastModifiedBy>lee</cp:lastModifiedBy>
  <dcterms:modified xsi:type="dcterms:W3CDTF">2019-04-03T23:02:31Z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