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7840" w14:textId="48541C0B" w:rsidR="0048021A" w:rsidRPr="00EA1BF5" w:rsidRDefault="00AC7EC9"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Olivia Ling and Jojo Yu</w:t>
      </w:r>
    </w:p>
    <w:p w14:paraId="26A602AF" w14:textId="12743F64" w:rsidR="00AC7EC9" w:rsidRPr="00EA1BF5" w:rsidRDefault="00040968"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PUBHLTH 5015</w:t>
      </w:r>
    </w:p>
    <w:p w14:paraId="5EF24C0A" w14:textId="62F6AA8D" w:rsidR="00AC7EC9" w:rsidRPr="00EA1BF5" w:rsidRDefault="00AC7EC9"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Professor Rempala</w:t>
      </w:r>
    </w:p>
    <w:p w14:paraId="64D3CE47" w14:textId="2A0C79E8" w:rsidR="00040968" w:rsidRDefault="00EF5859" w:rsidP="00EA1BF5">
      <w:pPr>
        <w:spacing w:line="480" w:lineRule="auto"/>
        <w:rPr>
          <w:rFonts w:ascii="Times New Roman" w:hAnsi="Times New Roman" w:cs="Times New Roman"/>
          <w:sz w:val="24"/>
          <w:szCs w:val="24"/>
        </w:rPr>
      </w:pPr>
      <w:r>
        <w:rPr>
          <w:rFonts w:ascii="Times New Roman" w:hAnsi="Times New Roman" w:cs="Times New Roman"/>
          <w:sz w:val="24"/>
          <w:szCs w:val="24"/>
        </w:rPr>
        <w:t>9</w:t>
      </w:r>
      <w:r w:rsidR="00040968" w:rsidRPr="00EA1BF5">
        <w:rPr>
          <w:rFonts w:ascii="Times New Roman" w:hAnsi="Times New Roman" w:cs="Times New Roman"/>
          <w:sz w:val="24"/>
          <w:szCs w:val="24"/>
        </w:rPr>
        <w:t xml:space="preserve"> December 2025</w:t>
      </w:r>
    </w:p>
    <w:p w14:paraId="08042E8E" w14:textId="68716633" w:rsidR="00EA1BF5" w:rsidRDefault="00EA1BF5" w:rsidP="00EA1BF5">
      <w:pPr>
        <w:spacing w:line="480" w:lineRule="auto"/>
        <w:jc w:val="center"/>
        <w:rPr>
          <w:rFonts w:ascii="Times New Roman" w:hAnsi="Times New Roman" w:cs="Times New Roman"/>
          <w:sz w:val="24"/>
          <w:szCs w:val="24"/>
        </w:rPr>
      </w:pPr>
      <w:r w:rsidRPr="00EA1BF5">
        <w:rPr>
          <w:rFonts w:ascii="Times New Roman" w:hAnsi="Times New Roman" w:cs="Times New Roman"/>
          <w:sz w:val="24"/>
          <w:szCs w:val="24"/>
        </w:rPr>
        <w:t>Analysis of Breast Cancer Incidence and Social Determinants in Ohio</w:t>
      </w:r>
    </w:p>
    <w:p w14:paraId="3C3DEDB9" w14:textId="3A8A762E" w:rsidR="00A52C83" w:rsidRPr="00A52C83" w:rsidRDefault="00A52C83" w:rsidP="00A52C83">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Introduction</w:t>
      </w:r>
    </w:p>
    <w:p w14:paraId="4ABE8AA5" w14:textId="5B9E3E36" w:rsidR="00490E3D" w:rsidRPr="00490E3D" w:rsidRDefault="00490E3D" w:rsidP="00490E3D">
      <w:pPr>
        <w:spacing w:line="480" w:lineRule="auto"/>
        <w:ind w:firstLine="720"/>
        <w:rPr>
          <w:rFonts w:ascii="Times New Roman" w:hAnsi="Times New Roman" w:cs="Times New Roman"/>
          <w:sz w:val="24"/>
          <w:szCs w:val="24"/>
        </w:rPr>
      </w:pPr>
      <w:r w:rsidRPr="00490E3D">
        <w:rPr>
          <w:rFonts w:ascii="Times New Roman" w:hAnsi="Times New Roman" w:cs="Times New Roman"/>
          <w:sz w:val="24"/>
          <w:szCs w:val="24"/>
        </w:rPr>
        <w:t>Breast cancer remains the most common cancer, besides skin cancer, among women in the United States, accounting for roughly 30% of all new female cancer diagnoses each year (Cancer, 2025). In 2025, the American Cancer Society estimates that 316,950 women will be diagnosed with invasive breast cancer, an additional 59,080 with ductal carcinoma in situ (DCIS), and approximately 42,170 women will die from the disease. Although breast cancer can occur at any age, it disproportionately affects middle-aged and older women, with a median age at diagnosis of 62. Given the substantial burden of this disease and its uneven distribution across geographic and socioeconomic contexts, identifying the structural factors that shape community-level incidence remains an important public health priority.</w:t>
      </w:r>
    </w:p>
    <w:p w14:paraId="30999456" w14:textId="718BF6EB" w:rsidR="00490E3D" w:rsidRDefault="00490E3D" w:rsidP="00490E3D">
      <w:pPr>
        <w:spacing w:line="480" w:lineRule="auto"/>
        <w:ind w:firstLine="720"/>
        <w:rPr>
          <w:rFonts w:ascii="Times New Roman" w:hAnsi="Times New Roman" w:cs="Times New Roman"/>
          <w:sz w:val="24"/>
          <w:szCs w:val="24"/>
        </w:rPr>
      </w:pPr>
      <w:r w:rsidRPr="00490E3D">
        <w:rPr>
          <w:rFonts w:ascii="Times New Roman" w:hAnsi="Times New Roman" w:cs="Times New Roman"/>
          <w:sz w:val="24"/>
          <w:szCs w:val="24"/>
        </w:rPr>
        <w:t>The goal of this study is to quantify how breast cancer incidence varies in relation to key county-level socioeconomic and geographic factors across Ohio. Using data from all 88 counties, we examine associations between incidence rates and poverty levels, median household income, educational attainment, female population distribution, rural–urban classification, and Appalachian status. We additionally map these variables to highlight geographic disparities and evaluate predictors using logistic regression models.</w:t>
      </w:r>
    </w:p>
    <w:p w14:paraId="56A1BA9A" w14:textId="77777777" w:rsidR="003B17D9" w:rsidRDefault="00A52C83" w:rsidP="003B17D9">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lastRenderedPageBreak/>
        <w:t>Data Description</w:t>
      </w:r>
    </w:p>
    <w:p w14:paraId="12745E0E" w14:textId="652FDB49" w:rsidR="003B17D9" w:rsidRPr="003B17D9" w:rsidRDefault="003B17D9" w:rsidP="003B17D9">
      <w:pPr>
        <w:spacing w:line="480" w:lineRule="auto"/>
        <w:rPr>
          <w:rFonts w:ascii="Times New Roman" w:hAnsi="Times New Roman" w:cs="Times New Roman"/>
          <w:sz w:val="24"/>
          <w:szCs w:val="24"/>
        </w:rPr>
      </w:pPr>
      <w:r w:rsidRPr="003B17D9">
        <w:rPr>
          <w:rFonts w:ascii="Times New Roman" w:hAnsi="Times New Roman" w:cs="Times New Roman"/>
          <w:sz w:val="24"/>
          <w:szCs w:val="24"/>
        </w:rPr>
        <w:t xml:space="preserve">This study uses county-level data from all 88 Ohio counties to evaluate how socioeconomic conditions relate to female breast cancer incidence. Breast cancer incidence rates (cases per 100,000 females) were obtained from the </w:t>
      </w:r>
      <w:r w:rsidRPr="003B17D9">
        <w:rPr>
          <w:rStyle w:val="Emphasis"/>
          <w:rFonts w:ascii="Times New Roman" w:hAnsi="Times New Roman" w:cs="Times New Roman"/>
          <w:sz w:val="24"/>
          <w:szCs w:val="24"/>
        </w:rPr>
        <w:t>Cancer</w:t>
      </w:r>
      <w:r w:rsidRPr="003B17D9">
        <w:rPr>
          <w:rFonts w:ascii="Times New Roman" w:hAnsi="Times New Roman" w:cs="Times New Roman"/>
          <w:sz w:val="24"/>
          <w:szCs w:val="24"/>
        </w:rPr>
        <w:t xml:space="preserve"> sheet and, after standardizing county names, ranged from </w:t>
      </w:r>
      <w:r w:rsidRPr="003B17D9">
        <w:rPr>
          <w:rStyle w:val="Strong"/>
          <w:rFonts w:ascii="Times New Roman" w:hAnsi="Times New Roman" w:cs="Times New Roman"/>
          <w:b w:val="0"/>
          <w:bCs w:val="0"/>
          <w:sz w:val="24"/>
          <w:szCs w:val="24"/>
        </w:rPr>
        <w:t>83.3 to 147.8</w:t>
      </w:r>
      <w:r w:rsidRPr="003B17D9">
        <w:rPr>
          <w:rFonts w:ascii="Times New Roman" w:hAnsi="Times New Roman" w:cs="Times New Roman"/>
          <w:sz w:val="24"/>
          <w:szCs w:val="24"/>
        </w:rPr>
        <w:t xml:space="preserve"> across counties, with a median of </w:t>
      </w:r>
      <w:r w:rsidRPr="003B17D9">
        <w:rPr>
          <w:rStyle w:val="Strong"/>
          <w:rFonts w:ascii="Times New Roman" w:hAnsi="Times New Roman" w:cs="Times New Roman"/>
          <w:b w:val="0"/>
          <w:bCs w:val="0"/>
          <w:sz w:val="24"/>
          <w:szCs w:val="24"/>
        </w:rPr>
        <w:t>122.</w:t>
      </w:r>
      <w:r w:rsidR="00851A70">
        <w:rPr>
          <w:rStyle w:val="Strong"/>
          <w:rFonts w:ascii="Times New Roman" w:hAnsi="Times New Roman" w:cs="Times New Roman"/>
          <w:b w:val="0"/>
          <w:bCs w:val="0"/>
          <w:sz w:val="24"/>
          <w:szCs w:val="24"/>
        </w:rPr>
        <w:t>8</w:t>
      </w:r>
      <w:r w:rsidRPr="003B17D9">
        <w:rPr>
          <w:rFonts w:ascii="Times New Roman" w:hAnsi="Times New Roman" w:cs="Times New Roman"/>
          <w:sz w:val="24"/>
          <w:szCs w:val="24"/>
        </w:rPr>
        <w:t>.</w:t>
      </w:r>
    </w:p>
    <w:p w14:paraId="6E6CCB10" w14:textId="06F224A4" w:rsidR="003B17D9" w:rsidRPr="003B17D9" w:rsidRDefault="003B17D9" w:rsidP="003B17D9">
      <w:pPr>
        <w:spacing w:line="480" w:lineRule="auto"/>
        <w:rPr>
          <w:rFonts w:ascii="Times New Roman" w:hAnsi="Times New Roman" w:cs="Times New Roman"/>
          <w:sz w:val="24"/>
          <w:szCs w:val="24"/>
        </w:rPr>
      </w:pPr>
      <w:r w:rsidRPr="003B17D9">
        <w:rPr>
          <w:rFonts w:ascii="Times New Roman" w:hAnsi="Times New Roman" w:cs="Times New Roman"/>
          <w:sz w:val="24"/>
          <w:szCs w:val="24"/>
        </w:rPr>
        <w:t xml:space="preserve">Socioeconomic indicators were taken from multiple sheets in </w:t>
      </w:r>
      <w:r w:rsidRPr="003B17D9">
        <w:rPr>
          <w:rStyle w:val="Emphasis"/>
          <w:rFonts w:ascii="Times New Roman" w:hAnsi="Times New Roman" w:cs="Times New Roman"/>
          <w:sz w:val="24"/>
          <w:szCs w:val="24"/>
        </w:rPr>
        <w:t>County data.xlsx</w:t>
      </w:r>
      <w:r w:rsidRPr="003B17D9">
        <w:rPr>
          <w:rFonts w:ascii="Times New Roman" w:hAnsi="Times New Roman" w:cs="Times New Roman"/>
          <w:sz w:val="24"/>
          <w:szCs w:val="24"/>
        </w:rPr>
        <w:t>.</w:t>
      </w:r>
    </w:p>
    <w:p w14:paraId="5EB720D1" w14:textId="77777777" w:rsidR="003B17D9" w:rsidRPr="003B17D9" w:rsidRDefault="003B17D9" w:rsidP="003B17D9">
      <w:pPr>
        <w:pStyle w:val="NormalWeb"/>
        <w:numPr>
          <w:ilvl w:val="0"/>
          <w:numId w:val="1"/>
        </w:numPr>
        <w:spacing w:line="480" w:lineRule="auto"/>
      </w:pPr>
      <w:r w:rsidRPr="003B17D9">
        <w:rPr>
          <w:rStyle w:val="Strong"/>
          <w:rFonts w:eastAsiaTheme="majorEastAsia"/>
          <w:b w:val="0"/>
          <w:bCs w:val="0"/>
        </w:rPr>
        <w:t>Poverty rate</w:t>
      </w:r>
      <w:r w:rsidRPr="003B17D9">
        <w:t xml:space="preserve"> ranged from </w:t>
      </w:r>
      <w:r w:rsidRPr="003B17D9">
        <w:rPr>
          <w:rStyle w:val="Strong"/>
          <w:rFonts w:eastAsiaTheme="majorEastAsia"/>
          <w:b w:val="0"/>
          <w:bCs w:val="0"/>
        </w:rPr>
        <w:t>3.4% to 17.6%</w:t>
      </w:r>
      <w:r w:rsidRPr="003B17D9">
        <w:t>, representing the proportion of residents below the federal poverty line.</w:t>
      </w:r>
    </w:p>
    <w:p w14:paraId="3272E371" w14:textId="77777777" w:rsidR="003B17D9" w:rsidRPr="003B17D9" w:rsidRDefault="003B17D9" w:rsidP="003B17D9">
      <w:pPr>
        <w:pStyle w:val="NormalWeb"/>
        <w:numPr>
          <w:ilvl w:val="0"/>
          <w:numId w:val="1"/>
        </w:numPr>
        <w:spacing w:line="480" w:lineRule="auto"/>
      </w:pPr>
      <w:r w:rsidRPr="003B17D9">
        <w:rPr>
          <w:rStyle w:val="Strong"/>
          <w:rFonts w:eastAsiaTheme="majorEastAsia"/>
          <w:b w:val="0"/>
          <w:bCs w:val="0"/>
        </w:rPr>
        <w:t>Median household income</w:t>
      </w:r>
      <w:r w:rsidRPr="003B17D9">
        <w:t xml:space="preserve"> ranged from </w:t>
      </w:r>
      <w:r w:rsidRPr="003B17D9">
        <w:rPr>
          <w:rStyle w:val="Strong"/>
          <w:rFonts w:eastAsiaTheme="majorEastAsia"/>
          <w:b w:val="0"/>
          <w:bCs w:val="0"/>
        </w:rPr>
        <w:t>$60,552 to $153,705</w:t>
      </w:r>
      <w:r w:rsidRPr="003B17D9">
        <w:t>, with formatting cleaned before analysis.</w:t>
      </w:r>
    </w:p>
    <w:p w14:paraId="7C8C4701" w14:textId="77777777" w:rsidR="003B17D9" w:rsidRPr="003B17D9" w:rsidRDefault="003B17D9" w:rsidP="003B17D9">
      <w:pPr>
        <w:pStyle w:val="NormalWeb"/>
        <w:numPr>
          <w:ilvl w:val="0"/>
          <w:numId w:val="1"/>
        </w:numPr>
        <w:spacing w:line="480" w:lineRule="auto"/>
      </w:pPr>
      <w:r w:rsidRPr="003B17D9">
        <w:rPr>
          <w:rStyle w:val="Strong"/>
          <w:rFonts w:eastAsiaTheme="majorEastAsia"/>
          <w:b w:val="0"/>
          <w:bCs w:val="0"/>
        </w:rPr>
        <w:t>Educational attainment</w:t>
      </w:r>
      <w:r w:rsidRPr="003B17D9">
        <w:t xml:space="preserve">, measured as the percentage of adults with a college degree or higher, ranged from </w:t>
      </w:r>
      <w:r w:rsidRPr="003B17D9">
        <w:rPr>
          <w:rStyle w:val="Strong"/>
          <w:rFonts w:eastAsiaTheme="majorEastAsia"/>
          <w:b w:val="0"/>
          <w:bCs w:val="0"/>
        </w:rPr>
        <w:t>0.9% to 36.2%</w:t>
      </w:r>
      <w:r w:rsidRPr="003B17D9">
        <w:t>.</w:t>
      </w:r>
    </w:p>
    <w:p w14:paraId="2C8CF337" w14:textId="77777777" w:rsidR="003B17D9" w:rsidRPr="003B17D9" w:rsidRDefault="003B17D9" w:rsidP="003B17D9">
      <w:pPr>
        <w:pStyle w:val="NormalWeb"/>
        <w:numPr>
          <w:ilvl w:val="0"/>
          <w:numId w:val="1"/>
        </w:numPr>
        <w:spacing w:line="480" w:lineRule="auto"/>
      </w:pPr>
      <w:r w:rsidRPr="003B17D9">
        <w:rPr>
          <w:rStyle w:val="Strong"/>
          <w:rFonts w:eastAsiaTheme="majorEastAsia"/>
          <w:b w:val="0"/>
          <w:bCs w:val="0"/>
        </w:rPr>
        <w:t>Female population percentage</w:t>
      </w:r>
      <w:r w:rsidRPr="003B17D9">
        <w:t xml:space="preserve"> ranged from </w:t>
      </w:r>
      <w:r w:rsidRPr="003B17D9">
        <w:rPr>
          <w:rStyle w:val="Strong"/>
          <w:rFonts w:eastAsiaTheme="majorEastAsia"/>
          <w:b w:val="0"/>
          <w:bCs w:val="0"/>
        </w:rPr>
        <w:t>13.5% to 27.9%</w:t>
      </w:r>
      <w:r w:rsidRPr="003B17D9">
        <w:t>.</w:t>
      </w:r>
    </w:p>
    <w:p w14:paraId="365B5694" w14:textId="77777777" w:rsidR="003B17D9" w:rsidRPr="003B17D9" w:rsidRDefault="003B17D9" w:rsidP="003B17D9">
      <w:pPr>
        <w:pStyle w:val="NormalWeb"/>
        <w:spacing w:line="480" w:lineRule="auto"/>
      </w:pPr>
      <w:r w:rsidRPr="003B17D9">
        <w:t>Two additional geographic indicators were also included:</w:t>
      </w:r>
    </w:p>
    <w:p w14:paraId="69153E2F" w14:textId="77777777" w:rsidR="003B17D9" w:rsidRPr="00F65556" w:rsidRDefault="003B17D9" w:rsidP="003B17D9">
      <w:pPr>
        <w:pStyle w:val="NormalWeb"/>
        <w:numPr>
          <w:ilvl w:val="0"/>
          <w:numId w:val="2"/>
        </w:numPr>
        <w:spacing w:line="480" w:lineRule="auto"/>
      </w:pPr>
      <w:r w:rsidRPr="00F65556">
        <w:rPr>
          <w:rStyle w:val="Strong"/>
          <w:rFonts w:eastAsiaTheme="majorEastAsia"/>
          <w:b w:val="0"/>
          <w:bCs w:val="0"/>
        </w:rPr>
        <w:t>Rural–urban classification:</w:t>
      </w:r>
      <w:r w:rsidRPr="00F65556">
        <w:t xml:space="preserve"> Urban (20.5% of counties), Partially Rural (22.7%), and Rural (56.8%).</w:t>
      </w:r>
    </w:p>
    <w:p w14:paraId="6EFF89C8" w14:textId="77777777" w:rsidR="003B17D9" w:rsidRPr="00F65556" w:rsidRDefault="003B17D9" w:rsidP="003B17D9">
      <w:pPr>
        <w:pStyle w:val="NormalWeb"/>
        <w:numPr>
          <w:ilvl w:val="0"/>
          <w:numId w:val="2"/>
        </w:numPr>
        <w:spacing w:line="480" w:lineRule="auto"/>
      </w:pPr>
      <w:r w:rsidRPr="00F65556">
        <w:rPr>
          <w:rStyle w:val="Strong"/>
          <w:rFonts w:eastAsiaTheme="majorEastAsia"/>
          <w:b w:val="0"/>
          <w:bCs w:val="0"/>
        </w:rPr>
        <w:t>Appalachian status:</w:t>
      </w:r>
      <w:r w:rsidRPr="00F65556">
        <w:t xml:space="preserve"> 36.4% of counties were designated Appalachian.</w:t>
      </w:r>
    </w:p>
    <w:p w14:paraId="5C55AF65" w14:textId="38818FA9" w:rsidR="003B17D9" w:rsidRPr="003B17D9" w:rsidRDefault="003B17D9" w:rsidP="003B17D9">
      <w:pPr>
        <w:pStyle w:val="NormalWeb"/>
        <w:spacing w:line="480" w:lineRule="auto"/>
      </w:pPr>
      <w:r w:rsidRPr="003B17D9">
        <w:t xml:space="preserve">All variables were standardized and merged with geographic boundaries for mapping, creating a complete dataset of 88 counties with all predictors and outcomes </w:t>
      </w:r>
      <w:r w:rsidRPr="003B17D9">
        <w:t>present.</w:t>
      </w:r>
    </w:p>
    <w:p w14:paraId="281B48E1" w14:textId="28336F26"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Methods</w:t>
      </w:r>
    </w:p>
    <w:p w14:paraId="51002792" w14:textId="2C848CD0" w:rsidR="007B559A" w:rsidRPr="007B559A" w:rsidRDefault="007B559A" w:rsidP="007B559A">
      <w:pPr>
        <w:spacing w:line="480" w:lineRule="auto"/>
        <w:ind w:firstLine="720"/>
        <w:rPr>
          <w:rFonts w:ascii="Times New Roman" w:hAnsi="Times New Roman" w:cs="Times New Roman"/>
          <w:sz w:val="24"/>
          <w:szCs w:val="24"/>
        </w:rPr>
      </w:pPr>
      <w:r w:rsidRPr="007B559A">
        <w:rPr>
          <w:rFonts w:ascii="Times New Roman" w:hAnsi="Times New Roman" w:cs="Times New Roman"/>
          <w:sz w:val="24"/>
          <w:szCs w:val="24"/>
        </w:rPr>
        <w:lastRenderedPageBreak/>
        <w:t>We conducted a cross-sectional ecological analysis using county-level socioeconomic and demographic measures to predict variation in breast cancer incidence across Ohio. Data from all relevant sheets in County data.xlsx were imported and merged using standardized county names. Breast cancer incidence served as the primary outcome and was dichotomized into high versus low incidence based on the statewide median value of 122.8 cases per 100,000 females.</w:t>
      </w:r>
    </w:p>
    <w:p w14:paraId="076404F6" w14:textId="0DFAFB63" w:rsidR="00A52C83" w:rsidRDefault="007B559A" w:rsidP="007B559A">
      <w:pPr>
        <w:spacing w:line="480" w:lineRule="auto"/>
        <w:ind w:firstLine="720"/>
        <w:rPr>
          <w:rFonts w:ascii="Times New Roman" w:hAnsi="Times New Roman" w:cs="Times New Roman"/>
          <w:sz w:val="24"/>
          <w:szCs w:val="24"/>
        </w:rPr>
      </w:pPr>
      <w:r w:rsidRPr="007B559A">
        <w:rPr>
          <w:rFonts w:ascii="Times New Roman" w:hAnsi="Times New Roman" w:cs="Times New Roman"/>
          <w:sz w:val="24"/>
          <w:szCs w:val="24"/>
        </w:rPr>
        <w:t xml:space="preserve">Predictor variables included poverty rate, median household income, educational attainment, female population percentage, rural–urban classification, and Appalachian status. After generating descriptive summaries and correlation matrices, we produced choropleth maps for each major variable. Logistic regression models were then used to estimate both unadjusted and adjusted associations with high incidence. The multivariable model included all socioeconomic and geographic predictors to account for potential confounding. Odds ratios and 95% confidence intervals were computed. All analyses were conducted in R using </w:t>
      </w:r>
      <w:proofErr w:type="spellStart"/>
      <w:r w:rsidRPr="007B559A">
        <w:rPr>
          <w:rFonts w:ascii="Times New Roman" w:hAnsi="Times New Roman" w:cs="Times New Roman"/>
          <w:sz w:val="24"/>
          <w:szCs w:val="24"/>
        </w:rPr>
        <w:t>tidyverse</w:t>
      </w:r>
      <w:proofErr w:type="spellEnd"/>
      <w:r w:rsidRPr="007B559A">
        <w:rPr>
          <w:rFonts w:ascii="Times New Roman" w:hAnsi="Times New Roman" w:cs="Times New Roman"/>
          <w:sz w:val="24"/>
          <w:szCs w:val="24"/>
        </w:rPr>
        <w:t xml:space="preserve">, </w:t>
      </w:r>
      <w:proofErr w:type="spellStart"/>
      <w:r w:rsidRPr="007B559A">
        <w:rPr>
          <w:rFonts w:ascii="Times New Roman" w:hAnsi="Times New Roman" w:cs="Times New Roman"/>
          <w:sz w:val="24"/>
          <w:szCs w:val="24"/>
        </w:rPr>
        <w:t>readxl</w:t>
      </w:r>
      <w:proofErr w:type="spellEnd"/>
      <w:r w:rsidRPr="007B559A">
        <w:rPr>
          <w:rFonts w:ascii="Times New Roman" w:hAnsi="Times New Roman" w:cs="Times New Roman"/>
          <w:sz w:val="24"/>
          <w:szCs w:val="24"/>
        </w:rPr>
        <w:t>, maps, and related packages, following the workflow documented in the accompanying notebook</w:t>
      </w:r>
      <w:r w:rsidR="00820C89" w:rsidRPr="00820C89">
        <w:rPr>
          <w:rFonts w:ascii="Times New Roman" w:hAnsi="Times New Roman" w:cs="Times New Roman"/>
          <w:sz w:val="24"/>
          <w:szCs w:val="24"/>
        </w:rPr>
        <w:t>.</w:t>
      </w:r>
    </w:p>
    <w:p w14:paraId="75F01C52" w14:textId="3BDF3413"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Results</w:t>
      </w:r>
    </w:p>
    <w:p w14:paraId="02023AB6" w14:textId="29B3493E" w:rsidR="008A5BFA" w:rsidRPr="008A5BFA" w:rsidRDefault="008A5BFA" w:rsidP="008A5BFA">
      <w:pPr>
        <w:spacing w:line="480" w:lineRule="auto"/>
        <w:ind w:firstLine="720"/>
        <w:rPr>
          <w:rFonts w:ascii="Times New Roman" w:hAnsi="Times New Roman" w:cs="Times New Roman"/>
          <w:sz w:val="24"/>
          <w:szCs w:val="24"/>
        </w:rPr>
      </w:pPr>
      <w:r w:rsidRPr="008A5BFA">
        <w:rPr>
          <w:rFonts w:ascii="Times New Roman" w:hAnsi="Times New Roman" w:cs="Times New Roman"/>
          <w:sz w:val="24"/>
          <w:szCs w:val="24"/>
        </w:rPr>
        <w:t xml:space="preserve">Breast cancer incidence varied widely among Ohio counties, ranging from 83.3 to 147.8 cases per 100,000 females, with 44 counties classified as high-incidence and 44 as low-incidence based on the median of 122.8. Socioeconomic conditions also differed substantially. Poverty ranged from 3.4% to 17.6%; median household income ranged from $60,552 to $153,705; and educational attainment from 0.9% to 36.2%. </w:t>
      </w:r>
      <w:proofErr w:type="gramStart"/>
      <w:r w:rsidRPr="00575669">
        <w:rPr>
          <w:rFonts w:ascii="Times New Roman" w:hAnsi="Times New Roman" w:cs="Times New Roman"/>
          <w:sz w:val="24"/>
          <w:szCs w:val="24"/>
        </w:rPr>
        <w:t>A majority of</w:t>
      </w:r>
      <w:proofErr w:type="gramEnd"/>
      <w:r w:rsidRPr="00575669">
        <w:rPr>
          <w:rFonts w:ascii="Times New Roman" w:hAnsi="Times New Roman" w:cs="Times New Roman"/>
          <w:sz w:val="24"/>
          <w:szCs w:val="24"/>
        </w:rPr>
        <w:t xml:space="preserve"> counties were rural (56.8%), with 20.5% urban and 22.7% partially rural. About one-third (36.4%) were Appalachian.</w:t>
      </w:r>
    </w:p>
    <w:p w14:paraId="65071547" w14:textId="7D1918E4" w:rsidR="008A5BFA" w:rsidRPr="008A5BFA" w:rsidRDefault="008A5BFA" w:rsidP="008A5BFA">
      <w:pPr>
        <w:spacing w:line="480" w:lineRule="auto"/>
        <w:ind w:firstLine="720"/>
        <w:rPr>
          <w:rFonts w:ascii="Times New Roman" w:hAnsi="Times New Roman" w:cs="Times New Roman"/>
          <w:sz w:val="24"/>
          <w:szCs w:val="24"/>
        </w:rPr>
      </w:pPr>
      <w:r w:rsidRPr="008A5BFA">
        <w:rPr>
          <w:rFonts w:ascii="Times New Roman" w:hAnsi="Times New Roman" w:cs="Times New Roman"/>
          <w:sz w:val="24"/>
          <w:szCs w:val="24"/>
        </w:rPr>
        <w:lastRenderedPageBreak/>
        <w:t>Correlation analysis demonstrated a strong negative association between poverty and median household income (r = –0.77), a moderate negative association between income and female population percentage (r = –0.43), and no strong correlation between education and poverty or income. Spatial mapping illustrated clear regional patterns in poverty and income, with Appalachian counties showing notably higher socioeconomic disadvantage. Breast cancer incidence also showed spatial clustering.</w:t>
      </w:r>
    </w:p>
    <w:p w14:paraId="287B40EB" w14:textId="67D44CF3" w:rsidR="008A5BFA" w:rsidRPr="008A5BFA" w:rsidRDefault="008A5BFA" w:rsidP="008A5BFA">
      <w:pPr>
        <w:spacing w:line="480" w:lineRule="auto"/>
        <w:ind w:firstLine="720"/>
        <w:rPr>
          <w:rFonts w:ascii="Times New Roman" w:hAnsi="Times New Roman" w:cs="Times New Roman"/>
          <w:sz w:val="24"/>
          <w:szCs w:val="24"/>
        </w:rPr>
      </w:pPr>
      <w:r w:rsidRPr="008A5BFA">
        <w:rPr>
          <w:rFonts w:ascii="Times New Roman" w:hAnsi="Times New Roman" w:cs="Times New Roman"/>
          <w:sz w:val="24"/>
          <w:szCs w:val="24"/>
        </w:rPr>
        <w:t>In the unadjusted logistic regression, poverty rate did not significantly predict high-incidence status (OR = 0.93, p = 0.318). However, in the multivariable model, two predictors reached statistical significance. Poverty rate became positively associated with high incidence (OR = 1.43, p = 0.035), indicating increased risk after adjustment. Median household income was also positively associated with high incidence (OR ≈ 1.00011, p = 0.012). Effects for education, female population percentage, rural–urban status, and Appalachian designation were not statistically significant, suggesting that these factors did not contribute additional explanatory power once poverty and income were considered.</w:t>
      </w:r>
    </w:p>
    <w:p w14:paraId="49D9EDF4" w14:textId="77777777" w:rsidR="008A5BFA" w:rsidRDefault="008A5BFA" w:rsidP="008A5BFA">
      <w:pPr>
        <w:spacing w:line="480" w:lineRule="auto"/>
        <w:ind w:firstLine="720"/>
        <w:rPr>
          <w:rFonts w:ascii="Times New Roman" w:hAnsi="Times New Roman" w:cs="Times New Roman"/>
          <w:sz w:val="24"/>
          <w:szCs w:val="24"/>
        </w:rPr>
      </w:pPr>
      <w:r w:rsidRPr="008A5BFA">
        <w:rPr>
          <w:rFonts w:ascii="Times New Roman" w:hAnsi="Times New Roman" w:cs="Times New Roman"/>
          <w:sz w:val="24"/>
          <w:szCs w:val="24"/>
        </w:rPr>
        <w:t>Together, these findings indicate that socioeconomic determinants influence breast cancer incidence in complex ways. While poverty and income both predict incidence after adjustment, their opposing expected directions suggest that high-income counties may have higher detection rates, while poverty continues to shape structural risk environments.</w:t>
      </w:r>
    </w:p>
    <w:p w14:paraId="48E95941" w14:textId="6E8A4730" w:rsidR="00A52C83" w:rsidRDefault="00A52C83" w:rsidP="008A5BFA">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Conclusion</w:t>
      </w:r>
    </w:p>
    <w:p w14:paraId="3AEC8BB4" w14:textId="763DC0E9" w:rsidR="00F03A71" w:rsidRPr="00F03A71" w:rsidRDefault="00FE3BD4" w:rsidP="00F03A71">
      <w:pPr>
        <w:spacing w:line="480" w:lineRule="auto"/>
        <w:rPr>
          <w:rFonts w:ascii="Times New Roman" w:hAnsi="Times New Roman" w:cs="Times New Roman"/>
          <w:sz w:val="24"/>
          <w:szCs w:val="24"/>
        </w:rPr>
      </w:pPr>
      <w:r w:rsidRPr="00FE3BD4">
        <w:rPr>
          <w:rFonts w:ascii="Times New Roman" w:hAnsi="Times New Roman" w:cs="Times New Roman"/>
          <w:sz w:val="24"/>
          <w:szCs w:val="24"/>
        </w:rPr>
        <w:tab/>
      </w:r>
      <w:r w:rsidR="00F03A71" w:rsidRPr="00F03A71">
        <w:rPr>
          <w:rFonts w:ascii="Times New Roman" w:hAnsi="Times New Roman" w:cs="Times New Roman"/>
          <w:sz w:val="24"/>
          <w:szCs w:val="24"/>
        </w:rPr>
        <w:t xml:space="preserve">This study demonstrates that socioeconomic and geographic conditions are associated with variation in breast cancer incidence across Ohio’s 88 counties. Although descriptive patterns initially suggested that rural and Appalachian counties might experience disproportionately high </w:t>
      </w:r>
      <w:r w:rsidR="00F03A71" w:rsidRPr="00F03A71">
        <w:rPr>
          <w:rFonts w:ascii="Times New Roman" w:hAnsi="Times New Roman" w:cs="Times New Roman"/>
          <w:sz w:val="24"/>
          <w:szCs w:val="24"/>
        </w:rPr>
        <w:lastRenderedPageBreak/>
        <w:t>incidence, the adjusted regression results revealed more nuanced dynamics. Poverty became a significant predictor only after accounting for other socioeconomic indicators, and higher median income also predicted higher incidence, suggesting that detection, screening access, and demographic differences may influence observed rates. Neither rurality nor Appalachian status independently predicted incidence once socioeconomic variables were included.</w:t>
      </w:r>
    </w:p>
    <w:p w14:paraId="47BBC69B" w14:textId="1FB8493E" w:rsidR="00FE3BD4" w:rsidRPr="00FE3BD4" w:rsidRDefault="00F03A71" w:rsidP="00F03A71">
      <w:pPr>
        <w:spacing w:line="480" w:lineRule="auto"/>
        <w:ind w:firstLine="720"/>
        <w:rPr>
          <w:rFonts w:ascii="Times New Roman" w:hAnsi="Times New Roman" w:cs="Times New Roman"/>
          <w:sz w:val="24"/>
          <w:szCs w:val="24"/>
        </w:rPr>
      </w:pPr>
      <w:r w:rsidRPr="00F03A71">
        <w:rPr>
          <w:rFonts w:ascii="Times New Roman" w:hAnsi="Times New Roman" w:cs="Times New Roman"/>
          <w:sz w:val="24"/>
          <w:szCs w:val="24"/>
        </w:rPr>
        <w:t>These findings underscore that structural socioeconomic conditions, rather than geography alone, shape cancer risk environments. Public health strategies should therefore focus on expanding screening access in lower-income areas while also accounting for potential detection-driven incidence patterns in higher-income communities. Future research incorporating longitudinal data, healthcare infrastructure measures, and individual-level risk factors would help clarify mechanisms driving these disparities. A deeper understanding of how social determinants shape community-level cancer outcomes is essential for developing equitable prevention and early detection strategies statewide.</w:t>
      </w:r>
    </w:p>
    <w:sectPr w:rsidR="00FE3BD4" w:rsidRPr="00FE3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C9D"/>
    <w:multiLevelType w:val="multilevel"/>
    <w:tmpl w:val="220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867F7"/>
    <w:multiLevelType w:val="multilevel"/>
    <w:tmpl w:val="786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2494">
    <w:abstractNumId w:val="1"/>
  </w:num>
  <w:num w:numId="2" w16cid:durableId="187735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31"/>
    <w:rsid w:val="00032A91"/>
    <w:rsid w:val="00040968"/>
    <w:rsid w:val="00092600"/>
    <w:rsid w:val="000F1462"/>
    <w:rsid w:val="00142E3A"/>
    <w:rsid w:val="0015667E"/>
    <w:rsid w:val="001C11FA"/>
    <w:rsid w:val="001D6AA7"/>
    <w:rsid w:val="00267B94"/>
    <w:rsid w:val="00326B24"/>
    <w:rsid w:val="003A27F1"/>
    <w:rsid w:val="003B17D9"/>
    <w:rsid w:val="003D2E02"/>
    <w:rsid w:val="003E40AF"/>
    <w:rsid w:val="00462E74"/>
    <w:rsid w:val="0048021A"/>
    <w:rsid w:val="00490E3D"/>
    <w:rsid w:val="005061AB"/>
    <w:rsid w:val="00570059"/>
    <w:rsid w:val="00575669"/>
    <w:rsid w:val="00645ECE"/>
    <w:rsid w:val="00703BAE"/>
    <w:rsid w:val="00721812"/>
    <w:rsid w:val="007339E5"/>
    <w:rsid w:val="007B559A"/>
    <w:rsid w:val="00820C89"/>
    <w:rsid w:val="00822265"/>
    <w:rsid w:val="00851A70"/>
    <w:rsid w:val="008A5BFA"/>
    <w:rsid w:val="00974DF0"/>
    <w:rsid w:val="00985E77"/>
    <w:rsid w:val="00993CA3"/>
    <w:rsid w:val="009E3931"/>
    <w:rsid w:val="00A22735"/>
    <w:rsid w:val="00A4161E"/>
    <w:rsid w:val="00A52C83"/>
    <w:rsid w:val="00AC7EC9"/>
    <w:rsid w:val="00AD0D1D"/>
    <w:rsid w:val="00C572E8"/>
    <w:rsid w:val="00D072D7"/>
    <w:rsid w:val="00E452F6"/>
    <w:rsid w:val="00EA1BF5"/>
    <w:rsid w:val="00EE6244"/>
    <w:rsid w:val="00EF5859"/>
    <w:rsid w:val="00F03A71"/>
    <w:rsid w:val="00F65556"/>
    <w:rsid w:val="00FE3B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8A0E"/>
  <w15:chartTrackingRefBased/>
  <w15:docId w15:val="{12C1ADAE-9C57-4F3A-A65E-F2ADF838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931"/>
    <w:rPr>
      <w:rFonts w:eastAsiaTheme="majorEastAsia" w:cstheme="majorBidi"/>
      <w:color w:val="272727" w:themeColor="text1" w:themeTint="D8"/>
    </w:rPr>
  </w:style>
  <w:style w:type="paragraph" w:styleId="Title">
    <w:name w:val="Title"/>
    <w:basedOn w:val="Normal"/>
    <w:next w:val="Normal"/>
    <w:link w:val="TitleChar"/>
    <w:uiPriority w:val="10"/>
    <w:qFormat/>
    <w:rsid w:val="009E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931"/>
    <w:pPr>
      <w:spacing w:before="160"/>
      <w:jc w:val="center"/>
    </w:pPr>
    <w:rPr>
      <w:i/>
      <w:iCs/>
      <w:color w:val="404040" w:themeColor="text1" w:themeTint="BF"/>
    </w:rPr>
  </w:style>
  <w:style w:type="character" w:customStyle="1" w:styleId="QuoteChar">
    <w:name w:val="Quote Char"/>
    <w:basedOn w:val="DefaultParagraphFont"/>
    <w:link w:val="Quote"/>
    <w:uiPriority w:val="29"/>
    <w:rsid w:val="009E3931"/>
    <w:rPr>
      <w:i/>
      <w:iCs/>
      <w:color w:val="404040" w:themeColor="text1" w:themeTint="BF"/>
    </w:rPr>
  </w:style>
  <w:style w:type="paragraph" w:styleId="ListParagraph">
    <w:name w:val="List Paragraph"/>
    <w:basedOn w:val="Normal"/>
    <w:uiPriority w:val="34"/>
    <w:qFormat/>
    <w:rsid w:val="009E3931"/>
    <w:pPr>
      <w:ind w:left="720"/>
      <w:contextualSpacing/>
    </w:pPr>
  </w:style>
  <w:style w:type="character" w:styleId="IntenseEmphasis">
    <w:name w:val="Intense Emphasis"/>
    <w:basedOn w:val="DefaultParagraphFont"/>
    <w:uiPriority w:val="21"/>
    <w:qFormat/>
    <w:rsid w:val="009E3931"/>
    <w:rPr>
      <w:i/>
      <w:iCs/>
      <w:color w:val="0F4761" w:themeColor="accent1" w:themeShade="BF"/>
    </w:rPr>
  </w:style>
  <w:style w:type="paragraph" w:styleId="IntenseQuote">
    <w:name w:val="Intense Quote"/>
    <w:basedOn w:val="Normal"/>
    <w:next w:val="Normal"/>
    <w:link w:val="IntenseQuoteChar"/>
    <w:uiPriority w:val="30"/>
    <w:qFormat/>
    <w:rsid w:val="009E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931"/>
    <w:rPr>
      <w:i/>
      <w:iCs/>
      <w:color w:val="0F4761" w:themeColor="accent1" w:themeShade="BF"/>
    </w:rPr>
  </w:style>
  <w:style w:type="character" w:styleId="IntenseReference">
    <w:name w:val="Intense Reference"/>
    <w:basedOn w:val="DefaultParagraphFont"/>
    <w:uiPriority w:val="32"/>
    <w:qFormat/>
    <w:rsid w:val="009E3931"/>
    <w:rPr>
      <w:b/>
      <w:bCs/>
      <w:smallCaps/>
      <w:color w:val="0F4761" w:themeColor="accent1" w:themeShade="BF"/>
      <w:spacing w:val="5"/>
    </w:rPr>
  </w:style>
  <w:style w:type="paragraph" w:styleId="NormalWeb">
    <w:name w:val="Normal (Web)"/>
    <w:basedOn w:val="Normal"/>
    <w:uiPriority w:val="99"/>
    <w:semiHidden/>
    <w:unhideWhenUsed/>
    <w:rsid w:val="003B17D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styleId="Emphasis">
    <w:name w:val="Emphasis"/>
    <w:basedOn w:val="DefaultParagraphFont"/>
    <w:uiPriority w:val="20"/>
    <w:qFormat/>
    <w:rsid w:val="003B17D9"/>
    <w:rPr>
      <w:i/>
      <w:iCs/>
    </w:rPr>
  </w:style>
  <w:style w:type="character" w:styleId="Strong">
    <w:name w:val="Strong"/>
    <w:basedOn w:val="DefaultParagraphFont"/>
    <w:uiPriority w:val="22"/>
    <w:qFormat/>
    <w:rsid w:val="003B17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Jojo</dc:creator>
  <cp:keywords/>
  <dc:description/>
  <cp:lastModifiedBy>Ling, Olivia</cp:lastModifiedBy>
  <cp:revision>40</cp:revision>
  <dcterms:created xsi:type="dcterms:W3CDTF">2025-11-28T14:49:00Z</dcterms:created>
  <dcterms:modified xsi:type="dcterms:W3CDTF">2025-12-09T18:24:00Z</dcterms:modified>
</cp:coreProperties>
</file>