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程序过程：</w:t>
      </w:r>
    </w:p>
    <w:p>
      <w:r>
        <w:drawing>
          <wp:inline distT="0" distB="0" distL="114300" distR="114300">
            <wp:extent cx="5261610" cy="25501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3870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4450" cy="534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程序结果：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44672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感想心得：</w:t>
      </w:r>
      <w:r>
        <w:rPr>
          <w:rFonts w:hint="eastAsia"/>
          <w:sz w:val="32"/>
          <w:szCs w:val="32"/>
          <w:lang w:val="en-US" w:eastAsia="zh-CN"/>
        </w:rPr>
        <w:t>学习了如何构造派生类函数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学习了构造函数与析构函数的执行顺序与规则，与如何对其进行定义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了解以及学会使用继承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Wudonghan</w:t>
      </w:r>
      <w:r>
        <w:t>. All rights reserved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B3B84"/>
    <w:rsid w:val="2E6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2021-12-19T15:04:00Z</dcterms:created>
  <dc:creator>alienware</dc:creator>
  <cp:lastModifiedBy>Arthur.M</cp:lastModifiedBy>
  <dcterms:modified xsi:type="dcterms:W3CDTF">2021-12-19T15:16:38Z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85FFC65AB4D84E53B0CCA2ABD6EBAF69</vt:lpwstr>
  </property>
</Properties>
</file>