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第五章习题心得：c++最后的多态，这丰富了c++的一切可能性。</w:t>
      </w:r>
    </w:p>
    <w:p>
      <w:pPr>
        <w:rPr>
          <w:rFonts w:hint="default"/>
          <w:lang w:val="en-US" w:eastAsia="zh-CN"/>
        </w:rPr>
      </w:pPr>
      <w:r>
        <w:rPr>
          <w:rFonts w:hint="default"/>
          <w:lang w:val="en-US" w:eastAsia="zh-CN"/>
        </w:rPr>
        <w:t>在C+中,多态性的实现和联编(也叫绑定)这一概念有关。一个源程序经过编译、连接,成为可执行文件的过程是把可执行代码联编(或称装配)在一起的过程。其中在运行之前就完成的联编称为静态联编,又叫前期联编;而在程序运行时才完成的联编叫动态联编,也称后期联编。</w:t>
      </w:r>
    </w:p>
    <w:p>
      <w:pPr>
        <w:rPr>
          <w:rFonts w:hint="default"/>
          <w:lang w:val="en-US" w:eastAsia="zh-CN"/>
        </w:rPr>
      </w:pPr>
      <w:r>
        <w:rPr>
          <w:rFonts w:hint="default"/>
          <w:lang w:val="en-US" w:eastAsia="zh-CN"/>
        </w:rPr>
        <w:t>静态联编是指系统在编译时就决定如何实现某一动作。静态联编要求在程序编译时就知道调用函数的全部信息,因此,这种联编类型的函数调用速度很快。效率高是静态联编的主要优点。</w:t>
      </w:r>
    </w:p>
    <w:p>
      <w:pPr>
        <w:rPr>
          <w:rFonts w:hint="default"/>
          <w:lang w:val="en-US" w:eastAsia="zh-CN"/>
        </w:rPr>
      </w:pPr>
      <w:r>
        <w:rPr>
          <w:rFonts w:hint="default"/>
          <w:lang w:val="en-US" w:eastAsia="zh-CN"/>
        </w:rPr>
        <w:t>动态联编是指系统在运行时动态实现某一动作。采用这种联编方式,一直要到程序运行时才能确定调用哪个函数。动态联编的主要优点是:提供了更好的灵活性,问题抽象性和程序易维护性。</w:t>
      </w:r>
    </w:p>
    <w:p>
      <w:pPr>
        <w:rPr>
          <w:rFonts w:hint="default"/>
          <w:lang w:val="en-US" w:eastAsia="zh-CN"/>
        </w:rPr>
      </w:pPr>
      <w:r>
        <w:rPr>
          <w:rFonts w:hint="default"/>
          <w:lang w:val="en-US" w:eastAsia="zh-CN"/>
        </w:rPr>
        <w:t>静态联编支持的多态性称为编译时多态性,也称静态多态性。在C++中,编译时多态性是通过函数重载(包括运算符重载)和模板实现的。利用函数重载机制,在调用同名的函数时,编译系统可根据实参的具体情况确立所要调用的是哪个函数。</w:t>
      </w:r>
    </w:p>
    <w:p>
      <w:pPr>
        <w:rPr>
          <w:rFonts w:hint="default"/>
          <w:lang w:val="en-US" w:eastAsia="zh-CN"/>
        </w:rPr>
      </w:pPr>
      <w:r>
        <w:rPr>
          <w:rFonts w:hint="default"/>
          <w:lang w:val="en-US" w:eastAsia="zh-CN"/>
        </w:rPr>
        <w:t>动态联编所支持的多态性称为运行时多态性,也称动态多态性。在C++中,运行时多态性是通过虚函数来实现的。</w:t>
      </w:r>
    </w:p>
    <w:p>
      <w:pPr>
        <w:rPr>
          <w:rFonts w:hint="default"/>
          <w:lang w:val="en-US" w:eastAsia="zh-CN"/>
        </w:rPr>
      </w:pPr>
      <w:r>
        <w:rPr>
          <w:rFonts w:hint="default"/>
          <w:lang w:val="en-US" w:eastAsia="zh-CN"/>
        </w:rPr>
        <w:t>运算符重载的规则。</w:t>
      </w:r>
    </w:p>
    <w:p>
      <w:pPr>
        <w:rPr>
          <w:rFonts w:hint="default"/>
          <w:lang w:val="en-US" w:eastAsia="zh-CN"/>
        </w:rPr>
      </w:pPr>
      <w:r>
        <w:rPr>
          <w:rFonts w:hint="default"/>
          <w:lang w:val="en-US" w:eastAsia="zh-CN"/>
        </w:rPr>
        <w:t>C++语言对运算符重载制定了以下一些规则:</w:t>
      </w:r>
    </w:p>
    <w:p>
      <w:pPr>
        <w:rPr>
          <w:rFonts w:hint="default"/>
          <w:lang w:val="en-US" w:eastAsia="zh-CN"/>
        </w:rPr>
      </w:pPr>
      <w:r>
        <w:rPr>
          <w:rFonts w:hint="default"/>
          <w:lang w:val="en-US" w:eastAsia="zh-CN"/>
        </w:rPr>
        <w:t>(1)C++中绝大部分的运算符允许重载,不能重载的运算符只有少数几个。</w:t>
      </w:r>
    </w:p>
    <w:p>
      <w:pPr>
        <w:rPr>
          <w:rFonts w:hint="default"/>
          <w:lang w:val="en-US" w:eastAsia="zh-CN"/>
        </w:rPr>
      </w:pPr>
      <w:r>
        <w:rPr>
          <w:rFonts w:hint="default"/>
          <w:lang w:val="en-US" w:eastAsia="zh-CN"/>
        </w:rPr>
        <w:t>(2)C++语言中只能对已有的C+运算符进行重载,不允许用户自己定义新的运算符。(3）运算符重载是针对新类型数据的实际需要,对原有运算符进行适当的改造完成的。一般来讲,重载的功能应当与原有的功能相类似(如用“+”实现加法,用“-”实现减法)。</w:t>
      </w:r>
    </w:p>
    <w:p>
      <w:pPr>
        <w:rPr>
          <w:rFonts w:hint="default"/>
          <w:lang w:val="en-US" w:eastAsia="zh-CN"/>
        </w:rPr>
      </w:pPr>
      <w:r>
        <w:rPr>
          <w:rFonts w:hint="default"/>
          <w:lang w:val="en-US" w:eastAsia="zh-CN"/>
        </w:rPr>
        <w:t>(4)重载不能改变运算符的操作对象(即操作数)的个数。(5)重载不能改变运算符原有的优先级。</w:t>
      </w:r>
    </w:p>
    <w:p>
      <w:pPr>
        <w:rPr>
          <w:rFonts w:hint="default"/>
          <w:lang w:val="en-US" w:eastAsia="zh-CN"/>
        </w:rPr>
      </w:pPr>
      <w:r>
        <w:rPr>
          <w:rFonts w:hint="default"/>
          <w:lang w:val="en-US" w:eastAsia="zh-CN"/>
        </w:rPr>
        <w:t>(6)重载不能改变运算符原有的结合特性。</w:t>
      </w:r>
    </w:p>
    <w:p>
      <w:pPr>
        <w:rPr>
          <w:rFonts w:hint="default"/>
          <w:lang w:val="en-US" w:eastAsia="zh-CN"/>
        </w:rPr>
      </w:pPr>
      <w:r>
        <w:rPr>
          <w:rFonts w:hint="default"/>
          <w:lang w:val="en-US" w:eastAsia="zh-CN"/>
        </w:rPr>
        <w:t>(7）运算符重载函数的参数至少应有一个是类对象(或类对象的引用)。</w:t>
      </w:r>
    </w:p>
    <w:p>
      <w:pPr>
        <w:rPr>
          <w:rFonts w:hint="default"/>
          <w:lang w:val="en-US" w:eastAsia="zh-CN"/>
        </w:rPr>
      </w:pPr>
      <w:r>
        <w:rPr>
          <w:rFonts w:hint="default"/>
          <w:lang w:val="en-US" w:eastAsia="zh-CN"/>
        </w:rPr>
        <w:t>(8）运算符重载函数可以是普通函数﹐也可以是类的成员函数﹐还可以是类的友元函数。</w:t>
      </w:r>
    </w:p>
    <w:p>
      <w:pPr>
        <w:rPr>
          <w:rFonts w:hint="default"/>
          <w:lang w:val="en-US" w:eastAsia="zh-CN"/>
        </w:rPr>
      </w:pPr>
      <w:r>
        <w:rPr>
          <w:rFonts w:hint="default"/>
          <w:lang w:val="en-US" w:eastAsia="zh-CN"/>
        </w:rPr>
        <w:t>(9)一般而言,用于类对象的运算符必须重载,但是赋值运算符“=”例外,不必用户进行重载。但在某些情况下,例如数据成员中包含指向动态分配内存的指针成员时,使用系统</w:t>
      </w:r>
    </w:p>
    <w:p>
      <w:pPr>
        <w:rPr>
          <w:rFonts w:hint="default"/>
          <w:lang w:val="en-US" w:eastAsia="zh-CN"/>
        </w:rPr>
      </w:pPr>
      <w:r>
        <w:rPr>
          <w:rFonts w:hint="default"/>
          <w:lang w:val="en-US" w:eastAsia="zh-CN"/>
        </w:rPr>
        <w:t>提供的对象赋值运算符函数就不能满足程序的要求,在赋值时可能出现错误。在这种情况下,就需要用户自己编写赋值运算符重载函数。</w:t>
      </w:r>
    </w:p>
    <w:p>
      <w:pPr>
        <w:rPr>
          <w:rFonts w:hint="default"/>
          <w:lang w:val="en-US" w:eastAsia="zh-CN"/>
        </w:rPr>
      </w:pPr>
      <w:r>
        <w:rPr>
          <w:rFonts w:hint="default"/>
          <w:lang w:val="en-US" w:eastAsia="zh-CN"/>
        </w:rPr>
        <w:t>友元运算符重载函数和成员运算符重载函数的不同有以下几点:</w:t>
      </w:r>
    </w:p>
    <w:p>
      <w:pPr>
        <w:rPr>
          <w:rFonts w:hint="default"/>
          <w:lang w:val="en-US" w:eastAsia="zh-CN"/>
        </w:rPr>
      </w:pPr>
      <w:r>
        <w:rPr>
          <w:rFonts w:hint="default"/>
          <w:lang w:val="en-US" w:eastAsia="zh-CN"/>
        </w:rPr>
        <w:t>(1）对双目运算符而言,成员运算符重载函数参数表中含有一个参数,而友元运算符重载函数</w:t>
      </w:r>
      <w:bookmarkStart w:id="0" w:name="_GoBack"/>
      <w:bookmarkEnd w:id="0"/>
      <w:r>
        <w:rPr>
          <w:rFonts w:hint="default"/>
          <w:lang w:val="en-US" w:eastAsia="zh-CN"/>
        </w:rPr>
        <w:t>参数表中含有两个参数;对单目运算符而言,成员运算符重载函数参数表中没有参数,而友元运算符重载函数参数表中含有一个参数。</w:t>
      </w:r>
    </w:p>
    <w:p>
      <w:pPr>
        <w:rPr>
          <w:rFonts w:hint="default"/>
          <w:lang w:val="en-US" w:eastAsia="zh-CN"/>
        </w:rPr>
      </w:pPr>
      <w:r>
        <w:rPr>
          <w:rFonts w:hint="default"/>
          <w:lang w:val="en-US" w:eastAsia="zh-CN"/>
        </w:rPr>
        <w:t>(2〉双目运算符一般可以被重载为友元运算符重载函数或成员运算符重载函数,但有一些情况,必须使用友元运算符重载函数，例如一个常数与一个对象相加。有的运算符(如“_”等)只能使用成员运算符重载函数。</w:t>
      </w:r>
    </w:p>
    <w:p>
      <w:pPr>
        <w:rPr>
          <w:rFonts w:hint="default"/>
          <w:lang w:val="en-US" w:eastAsia="zh-CN"/>
        </w:rPr>
      </w:pPr>
      <w:r>
        <w:rPr>
          <w:rFonts w:hint="default"/>
          <w:lang w:val="en-US" w:eastAsia="zh-CN"/>
        </w:rPr>
        <w:t>(3）成员运算符函数和友元运算符函数都可以用习惯方式调用,也可以用它们专用的方式调用</w:t>
      </w:r>
      <w:r>
        <w:rPr>
          <w:rFonts w:hint="eastAsia"/>
          <w:lang w:val="en-US" w:eastAsia="zh-CN"/>
        </w:rPr>
        <w:t>。</w:t>
      </w:r>
    </w:p>
    <w:p>
      <w:pPr>
        <w:rPr>
          <w:rFonts w:hint="default"/>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-44450</wp:posOffset>
                </wp:positionH>
                <wp:positionV relativeFrom="paragraph">
                  <wp:posOffset>89535</wp:posOffset>
                </wp:positionV>
                <wp:extent cx="5650865" cy="800735"/>
                <wp:effectExtent l="4445" t="4445" r="13970" b="17780"/>
                <wp:wrapNone/>
                <wp:docPr id="1" name="文本框 1"/>
                <wp:cNvGraphicFramePr/>
                <a:graphic xmlns:a="http://schemas.openxmlformats.org/drawingml/2006/main">
                  <a:graphicData uri="http://schemas.microsoft.com/office/word/2010/wordprocessingShape">
                    <wps:wsp>
                      <wps:cNvSpPr txBox="1"/>
                      <wps:spPr>
                        <a:xfrm>
                          <a:off x="1098550" y="8334375"/>
                          <a:ext cx="5650865" cy="8007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ascii="宋体" w:hAnsi="宋体" w:eastAsia="宋体" w:cs="宋体"/>
                                <w:sz w:val="24"/>
                                <w:szCs w:val="24"/>
                              </w:rPr>
                              <w:t>Copyright </w:t>
                            </w:r>
                            <w:r>
                              <w:rPr>
                                <w:rFonts w:ascii="宋体" w:hAnsi="宋体" w:eastAsia="宋体" w:cs="宋体"/>
                                <w:sz w:val="24"/>
                                <w:szCs w:val="24"/>
                              </w:rPr>
                              <w:drawing>
                                <wp:inline distT="0" distB="0" distL="114300" distR="114300">
                                  <wp:extent cx="219075" cy="219075"/>
                                  <wp:effectExtent l="0" t="0" r="9525"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219075" cy="219075"/>
                                          </a:xfrm>
                                          <a:prstGeom prst="rect">
                                            <a:avLst/>
                                          </a:prstGeom>
                                          <a:noFill/>
                                          <a:ln w="9525">
                                            <a:noFill/>
                                          </a:ln>
                                        </pic:spPr>
                                      </pic:pic>
                                    </a:graphicData>
                                  </a:graphic>
                                </wp:inline>
                              </w:drawing>
                            </w:r>
                            <w:r>
                              <w:rPr>
                                <w:rFonts w:ascii="宋体" w:hAnsi="宋体" w:eastAsia="宋体" w:cs="宋体"/>
                                <w:sz w:val="24"/>
                                <w:szCs w:val="24"/>
                              </w:rPr>
                              <w:t>2021-2099 wangzezheng. All rights reserved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pt;margin-top:7.05pt;height:63.05pt;width:444.95pt;z-index:251659264;mso-width-relative:page;mso-height-relative:page;" fillcolor="#FFFFFF [3201]" filled="t" stroked="t" coordsize="21600,21600" o:gfxdata="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VnpGCtYAAAAJAQAADwAAAAAAAAABACAAAAAiAAAAZHJzL2Rvd25yZXYueG1sUEsBAhQAFAAA&#10;AAgAh07iQK4cbAljAgAAwwQAAA4AAAAAAAAAAQAgAAAAJQEAAGRycy9lMm9Eb2MueG1sUEsFBgAA&#10;AAAGAAYAWQEAAPoFAAAAAA==&#10;">
                <v:fill on="t" focussize="0,0"/>
                <v:stroke weight="0.5pt" color="#000000 [3204]" joinstyle="round"/>
                <v:imagedata o:title=""/>
                <o:lock v:ext="edit" aspectratio="f"/>
                <v:textbox>
                  <w:txbxContent>
                    <w:p>
                      <w:r>
                        <w:rPr>
                          <w:rFonts w:ascii="宋体" w:hAnsi="宋体" w:eastAsia="宋体" w:cs="宋体"/>
                          <w:sz w:val="24"/>
                          <w:szCs w:val="24"/>
                        </w:rPr>
                        <w:t>Copyright </w:t>
                      </w:r>
                      <w:r>
                        <w:rPr>
                          <w:rFonts w:ascii="宋体" w:hAnsi="宋体" w:eastAsia="宋体" w:cs="宋体"/>
                          <w:sz w:val="24"/>
                          <w:szCs w:val="24"/>
                        </w:rPr>
                        <w:drawing>
                          <wp:inline distT="0" distB="0" distL="114300" distR="114300">
                            <wp:extent cx="219075" cy="219075"/>
                            <wp:effectExtent l="0" t="0" r="9525"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219075" cy="219075"/>
                                    </a:xfrm>
                                    <a:prstGeom prst="rect">
                                      <a:avLst/>
                                    </a:prstGeom>
                                    <a:noFill/>
                                    <a:ln w="9525">
                                      <a:noFill/>
                                    </a:ln>
                                  </pic:spPr>
                                </pic:pic>
                              </a:graphicData>
                            </a:graphic>
                          </wp:inline>
                        </w:drawing>
                      </w:r>
                      <w:r>
                        <w:rPr>
                          <w:rFonts w:ascii="宋体" w:hAnsi="宋体" w:eastAsia="宋体" w:cs="宋体"/>
                          <w:sz w:val="24"/>
                          <w:szCs w:val="24"/>
                        </w:rPr>
                        <w:t>2021-2099 wangzezheng. All rights reserved</w:t>
                      </w:r>
                    </w:p>
                  </w:txbxContent>
                </v:textbox>
              </v:shape>
            </w:pict>
          </mc:Fallback>
        </mc:AlternateContent>
      </w:r>
    </w:p>
    <w:p>
      <w:pPr>
        <w:rPr>
          <w:rFonts w:hint="default"/>
          <w:lang w:val="en-US" w:eastAsia="zh-CN"/>
        </w:rPr>
      </w:pPr>
    </w:p>
    <w:p>
      <w:pPr>
        <w:rPr>
          <w:rFonts w:hint="default"/>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262B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Office_11.1.0.11278_F1E327BC-269C-435d-A152-05C5408002CA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2021-12-19T09:58:05Z</dcterms:created>
  <dc:creator>唯之</dc:creator>
  <cp:lastModifiedBy>唯之</cp:lastModifiedBy>
  <dcterms:modified xsi:type="dcterms:W3CDTF">2021-12-19T10:36:30Z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2052-11.1.0.11278</vt:lpwstr>
  </property>
  <property fmtid="{D5CDD505-2E9C-101B-9397-08002B2CF9AE}" pid="3" name="ICV">
    <vt:lpwstr>C32D65E6B10344E2A5F59AC6E5DB84DB</vt:lpwstr>
  </property>
</Properties>
</file>