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第五章习题感想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多态性其实就是一种一词多义，并且是面向程序设计的特征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动态联编和静态联编 都是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多态性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的一种体现。关于面向对象的三个基本要素：封装（类型抽象）继承和多态。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多态性有两种表达形式：一种是不同的对象在收到相同的消息时，产生不同的动作，另一种是同一对象收到相同的消息却产生不同的函数调用。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运算符重载允许把标准运算符（如+、—、*、/、&lt;、&gt;等）应用于自定义数据类型的对象，这样我们在用自己的数据类型进行运算时，写出的代码更直观易读。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系统已定义的运算符不适用于新的自定义数据类型，因此就有了运算符重载的诞生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           成员访问运算符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.*          成员访问指针运算符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:：        作用域运算符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Sizeof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长度运算符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？:        条件运算符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6.虚函数是在基类中使用了关键字virtual的成员函数，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并在派生类中重新定义的函数，是实现多态性的一种手段。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9FFD5"/>
    <w:multiLevelType w:val="singleLevel"/>
    <w:tmpl w:val="3A19FF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A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2021-12-19T11:30:18Z</dcterms:created>
  <dc:creator>ASUS</dc:creator>
  <cp:lastModifiedBy>小栀</cp:lastModifiedBy>
  <dcterms:modified xsi:type="dcterms:W3CDTF">2021-12-19T11:39:32Z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403E73D0357941ABAD9ADA53177023C2</vt:lpwstr>
  </property>
</Properties>
</file>