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4953000" cy="3409950"/>
            <wp:effectExtent l="0" t="0" r="0" b="3810"/>
            <wp:docPr id="2" name="图片 2" descr="$J]14WV~E{~2IJ0Z9M2HK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$J]14WV~E{~2IJ0Z9M2HKB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162300" cy="5467350"/>
            <wp:effectExtent l="0" t="0" r="7620" b="3810"/>
            <wp:docPr id="1" name="图片 1" descr="FAC_Z[PCQIIYKQ@Z`7L7F~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AC_Z[PCQIIYKQ@Z`7L7F~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619625" cy="5476875"/>
            <wp:effectExtent l="0" t="0" r="13335" b="9525"/>
            <wp:docPr id="3" name="图片 3" descr="[@H39SHD(A0GU3E$~LP%PW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[@H39SHD(A0GU3E$~LP%PW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24325" cy="3057525"/>
            <wp:effectExtent l="0" t="0" r="5715" b="5715"/>
            <wp:docPr id="5" name="图片 5" descr="PHK{D7H{)2_17M7G5H98`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HK{D7H{)2_17M7G5H98`M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</w:t>
      </w:r>
    </w:p>
    <w:p>
      <w:r>
        <w:rPr>
          <w:rFonts w:hint="default"/>
          <w:lang w:val="en-US" w:eastAsia="zh-CN"/>
        </w:rPr>
        <w:t>构造函数调用顺序：先调用基类的构造函数，再调用对象成员构造函数，最后调用派生类的构造函数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析构函数的调用顺序：先调用派生类的构造函数，再调用对象成员构造函数，最后调用基类的构造函数；(与构造函数调用顺序相反)</w:t>
      </w:r>
      <w:r>
        <w:rPr>
          <w:rFonts w:hint="eastAsia"/>
          <w:lang w:val="en-US" w:eastAsia="zh-CN"/>
        </w:rPr>
        <w:t>。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ChenLi</w:t>
      </w:r>
      <w:r>
        <w:rPr>
          <w:lang w:val="en-US"/>
        </w:rPr>
        <w:t>. All rights reserved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B75C6"/>
    <w:rsid w:val="2E7744B2"/>
    <w:rsid w:val="36714388"/>
    <w:rsid w:val="428B67D2"/>
    <w:rsid w:val="4AD8457E"/>
    <w:rsid w:val="5C2313D1"/>
    <w:rsid w:val="6142054C"/>
    <w:rsid w:val="7D37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2021-12-20T04:22:32Z</dcterms:created>
  <dc:creator>lichen</dc:creator>
  <cp:lastModifiedBy>诠释～未来</cp:lastModifiedBy>
  <dcterms:modified xsi:type="dcterms:W3CDTF">2021-12-20T04:27:22Z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93FB384B832F45AF8AC10D60C6B3428D</vt:lpwstr>
  </property>
</Properties>
</file>