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02AB" w14:textId="7C607C01" w:rsidR="001450F7" w:rsidRPr="00FE178C" w:rsidRDefault="00FE178C" w:rsidP="00FE178C">
      <w:pPr>
        <w:jc w:val="center"/>
        <w:rPr>
          <w:sz w:val="32"/>
          <w:szCs w:val="32"/>
        </w:rPr>
      </w:pPr>
      <w:r w:rsidRPr="00FE178C">
        <w:rPr>
          <w:rFonts w:hint="eastAsia"/>
          <w:sz w:val="32"/>
          <w:szCs w:val="32"/>
        </w:rPr>
        <w:t>第五章学习感想</w:t>
      </w:r>
    </w:p>
    <w:p w14:paraId="7356D9DB" w14:textId="412E9A4B" w:rsidR="00FE178C" w:rsidRPr="00FE178C" w:rsidRDefault="00FE178C">
      <w:pPr>
        <w:rPr>
          <w:sz w:val="28"/>
          <w:szCs w:val="28"/>
        </w:rPr>
      </w:pPr>
      <w:r w:rsidRPr="00FE178C">
        <w:rPr>
          <w:sz w:val="28"/>
          <w:szCs w:val="28"/>
        </w:rPr>
        <w:t>多态性是面向程序设计的重要特征之一</w:t>
      </w:r>
      <w:r w:rsidRPr="00FE178C">
        <w:rPr>
          <w:rFonts w:hint="eastAsia"/>
          <w:sz w:val="28"/>
          <w:szCs w:val="28"/>
        </w:rPr>
        <w:t>；</w:t>
      </w:r>
      <w:r w:rsidRPr="00FE178C">
        <w:rPr>
          <w:sz w:val="28"/>
          <w:szCs w:val="28"/>
        </w:rPr>
        <w:t>运算符的重载是通过创建运算符重载函数来实现的</w:t>
      </w:r>
      <w:r w:rsidRPr="00FE178C">
        <w:rPr>
          <w:rFonts w:hint="eastAsia"/>
          <w:sz w:val="28"/>
          <w:szCs w:val="28"/>
        </w:rPr>
        <w:t>；</w:t>
      </w:r>
      <w:r w:rsidRPr="00FE178C">
        <w:rPr>
          <w:sz w:val="28"/>
          <w:szCs w:val="28"/>
        </w:rPr>
        <w:t>运算符重载是针对新类型数据的实际需要，对原有运算符进行适当的改造完成的</w:t>
      </w:r>
      <w:r w:rsidRPr="00FE178C">
        <w:rPr>
          <w:rFonts w:hint="eastAsia"/>
          <w:sz w:val="28"/>
          <w:szCs w:val="28"/>
        </w:rPr>
        <w:t>；</w:t>
      </w:r>
      <w:r w:rsidRPr="00FE178C">
        <w:rPr>
          <w:sz w:val="28"/>
          <w:szCs w:val="28"/>
        </w:rPr>
        <w:t>Friend关键字修改函数或类，因此对于一个类而言，它有友元函数或友元类</w:t>
      </w:r>
      <w:r w:rsidRPr="00FE178C">
        <w:rPr>
          <w:rFonts w:hint="eastAsia"/>
          <w:sz w:val="28"/>
          <w:szCs w:val="28"/>
        </w:rPr>
        <w:t>；</w:t>
      </w:r>
      <w:r w:rsidRPr="00FE178C">
        <w:rPr>
          <w:sz w:val="28"/>
          <w:szCs w:val="28"/>
        </w:rPr>
        <w:t>友元函数虽然可以访问</w:t>
      </w:r>
      <w:proofErr w:type="gramStart"/>
      <w:r w:rsidRPr="00FE178C">
        <w:rPr>
          <w:sz w:val="28"/>
          <w:szCs w:val="28"/>
        </w:rPr>
        <w:t>类对象</w:t>
      </w:r>
      <w:proofErr w:type="gramEnd"/>
      <w:r w:rsidRPr="00FE178C">
        <w:rPr>
          <w:sz w:val="28"/>
          <w:szCs w:val="28"/>
        </w:rPr>
        <w:t>的私有成员，但毕竟不是成员函数，因此在类的外部定义友元函数时，不需要“类名：：”</w:t>
      </w:r>
      <w:r w:rsidRPr="00FE178C">
        <w:rPr>
          <w:rFonts w:hint="eastAsia"/>
          <w:sz w:val="28"/>
          <w:szCs w:val="28"/>
        </w:rPr>
        <w:t>；</w:t>
      </w:r>
      <w:r w:rsidRPr="00FE178C">
        <w:rPr>
          <w:sz w:val="28"/>
          <w:szCs w:val="28"/>
        </w:rPr>
        <w:t>为了能够调用派生类中的show()函数，引用虚函数</w:t>
      </w:r>
      <w:r w:rsidRPr="00FE178C">
        <w:rPr>
          <w:rFonts w:hint="eastAsia"/>
          <w:sz w:val="28"/>
          <w:szCs w:val="28"/>
        </w:rPr>
        <w:t>；</w:t>
      </w:r>
      <w:r w:rsidRPr="00FE178C">
        <w:rPr>
          <w:sz w:val="28"/>
          <w:szCs w:val="28"/>
        </w:rPr>
        <w:t>在派生类中，虚函数被重新定义时，其函数的原型与基类中的函数原型必须完全相同</w:t>
      </w:r>
      <w:r w:rsidRPr="00FE178C">
        <w:rPr>
          <w:rFonts w:hint="eastAsia"/>
          <w:sz w:val="28"/>
          <w:szCs w:val="28"/>
        </w:rPr>
        <w:t>。</w:t>
      </w:r>
    </w:p>
    <w:sectPr w:rsidR="00FE178C" w:rsidRPr="00FE17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8D9F" w14:textId="77777777" w:rsidR="00DE44A7" w:rsidRDefault="00DE44A7" w:rsidP="005807B3">
      <w:r>
        <w:separator/>
      </w:r>
    </w:p>
  </w:endnote>
  <w:endnote w:type="continuationSeparator" w:id="0">
    <w:p w14:paraId="7E16BC56" w14:textId="77777777" w:rsidR="00DE44A7" w:rsidRDefault="00DE44A7" w:rsidP="00580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820E9" w14:textId="77777777" w:rsidR="00C0165F" w:rsidRDefault="00C016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FDC7" w14:textId="6C63D708" w:rsidR="00C0165F" w:rsidRDefault="00C0165F" w:rsidP="00C0165F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1F7D1DDA" wp14:editId="63EF3F7F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rPr>
        <w:rFonts w:hint="eastAsia"/>
      </w:rPr>
      <w:t>Weiyuanliu</w:t>
    </w:r>
    <w:proofErr w:type="spellEnd"/>
    <w:r>
      <w:rPr>
        <w:rFonts w:hint="eastAsia"/>
      </w:rPr>
      <w:t>. All rights reserved</w:t>
    </w:r>
  </w:p>
  <w:p w14:paraId="1D5ADDF4" w14:textId="77777777" w:rsidR="00C0165F" w:rsidRDefault="00C0165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8325" w14:textId="77777777" w:rsidR="00C0165F" w:rsidRDefault="00C016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0894B" w14:textId="77777777" w:rsidR="00DE44A7" w:rsidRDefault="00DE44A7" w:rsidP="005807B3">
      <w:r>
        <w:separator/>
      </w:r>
    </w:p>
  </w:footnote>
  <w:footnote w:type="continuationSeparator" w:id="0">
    <w:p w14:paraId="4475968B" w14:textId="77777777" w:rsidR="00DE44A7" w:rsidRDefault="00DE44A7" w:rsidP="00580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5BB5" w14:textId="77777777" w:rsidR="00C0165F" w:rsidRDefault="00C016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1A4C" w14:textId="77777777" w:rsidR="00C0165F" w:rsidRDefault="00C0165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F3CF4" w14:textId="77777777" w:rsidR="00C0165F" w:rsidRDefault="00C016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8C"/>
    <w:rsid w:val="001450F7"/>
    <w:rsid w:val="005807B3"/>
    <w:rsid w:val="00C0165F"/>
    <w:rsid w:val="00DE44A7"/>
    <w:rsid w:val="00EE3BB1"/>
    <w:rsid w:val="00FE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D785E"/>
  <w15:chartTrackingRefBased/>
  <w15:docId w15:val="{BD986D8A-32EC-4126-BA8A-31CDADA0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7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7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刘 卫苑</cp:lastModifiedBy>
  <cp:revision>3</cp:revision>
  <dcterms:created xsi:type="dcterms:W3CDTF">2021-12-18T10:48:00Z</dcterms:created>
  <dcterms:modified xsi:type="dcterms:W3CDTF">2021-12-18T14:04:00Z</dcterms:modified>
</cp:coreProperties>
</file>