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眉题"/>
        <w:spacing w:before="3000"/>
      </w:pPr>
      <w:r>
        <w:t>BRAND BOOK · VOL. 01 · 2026</w:t>
      </w:r>
    </w:p>
    <w:p>
      <w:pPr>
        <w:pStyle w:val="Title"/>
      </w:pPr>
      <w:r>
        <w:t>雾岭咖啡</w:t>
      </w:r>
    </w:p>
    <w:p>
      <w:pPr>
        <w:pStyle w:val="Title"/>
        <w:spacing w:after="560" w:line="600" w:lineRule="exact"/>
      </w:pPr>
      <w:r>
        <w:rPr>
          <w:color w:val="8A5A3B"/>
          <w:spacing w:val="120"/>
        </w:rPr>
        <w:t>MISTRIDGE</w:t>
      </w:r>
    </w:p>
    <w:p>
      <w:pPr>
        <w:pStyle w:val="导语"/>
        <w:pBdr>
          <w:top w:val="single" w:sz="4" w:space="12" w:color="2F3B34"/>
        </w:pBdr>
      </w:pPr>
      <w:r>
        <w:t>品牌手册：故事、豆单、冲煮参数与视觉规范</w:t>
      </w:r>
    </w:p>
    <w:p>
      <w:pPr>
        <w:pStyle w:val="题注"/>
        <w:spacing w:before="4000"/>
      </w:pPr>
      <w:r>
        <w:t>云南 · 保山 · 高黎贡山东麓</w:t>
      </w:r>
      <w:r>
        <w:br/>
      </w:r>
      <w:r>
        <w:t>小批量烘焙 · 每周一次 · 每批不超过十二公斤</w:t>
      </w:r>
    </w:p>
    <w:p>
      <w:r>
        <w:br w:type="page"/>
      </w:r>
    </w:p>
    <w:p>
      <w:pPr>
        <w:pStyle w:val="眉题"/>
      </w:pPr>
      <w:r>
        <w:t>CONTENTS</w:t>
      </w:r>
    </w:p>
    <w:p>
      <w:pPr>
        <w:pStyle w:val="Heading1"/>
        <w:outlineLvl w:val="8"/>
      </w:pPr>
      <w:r>
        <w:t>目录</w:t>
      </w:r>
    </w:p>
    <w:p>
      <w:pPr>
        <w:pStyle w:val="目录项"/>
      </w:pPr>
      <w:r>
        <w:rPr>
          <w:rFonts w:ascii="Arial" w:eastAsia="微软雅黑" w:hAnsi="Arial" w:cs="Arial"/>
          <w:color w:val="8A5A3B"/>
          <w:sz w:val="16"/>
          <w:szCs w:val="16"/>
        </w:rPr>
        <w:t>01</w:t>
      </w:r>
      <w:r>
        <w:t xml:space="preserve">	品牌故事与理念	</w:t>
      </w:r>
      <w:r>
        <w:rPr>
          <w:rFonts w:ascii="Arial" w:eastAsia="微软雅黑" w:hAnsi="Arial" w:cs="Arial"/>
          <w:color w:val="7A7A72"/>
          <w:spacing w:val="30"/>
          <w:sz w:val="15"/>
          <w:szCs w:val="15"/>
        </w:rPr>
        <w:t>STORY</w:t>
      </w:r>
    </w:p>
    <w:p>
      <w:pPr>
        <w:pStyle w:val="目录项"/>
      </w:pPr>
      <w:r>
        <w:rPr>
          <w:rFonts w:ascii="Arial" w:eastAsia="微软雅黑" w:hAnsi="Arial" w:cs="Arial"/>
          <w:color w:val="8A5A3B"/>
          <w:sz w:val="16"/>
          <w:szCs w:val="16"/>
        </w:rPr>
        <w:t>02</w:t>
      </w:r>
      <w:r>
        <w:t xml:space="preserve">	三款主力豆	</w:t>
      </w:r>
      <w:r>
        <w:rPr>
          <w:rFonts w:ascii="Arial" w:eastAsia="微软雅黑" w:hAnsi="Arial" w:cs="Arial"/>
          <w:color w:val="7A7A72"/>
          <w:spacing w:val="30"/>
          <w:sz w:val="15"/>
          <w:szCs w:val="15"/>
        </w:rPr>
        <w:t>THE BEANS</w:t>
      </w:r>
    </w:p>
    <w:p>
      <w:pPr>
        <w:pStyle w:val="目录项"/>
      </w:pPr>
      <w:r>
        <w:rPr>
          <w:rFonts w:ascii="Arial" w:eastAsia="微软雅黑" w:hAnsi="Arial" w:cs="Arial"/>
          <w:color w:val="8A5A3B"/>
          <w:sz w:val="16"/>
          <w:szCs w:val="16"/>
        </w:rPr>
        <w:t>03</w:t>
      </w:r>
      <w:r>
        <w:t xml:space="preserve">	冲煮参数	</w:t>
      </w:r>
      <w:r>
        <w:rPr>
          <w:rFonts w:ascii="Arial" w:eastAsia="微软雅黑" w:hAnsi="Arial" w:cs="Arial"/>
          <w:color w:val="7A7A72"/>
          <w:spacing w:val="30"/>
          <w:sz w:val="15"/>
          <w:szCs w:val="15"/>
        </w:rPr>
        <w:t>BREWING</w:t>
      </w:r>
    </w:p>
    <w:p>
      <w:pPr>
        <w:pStyle w:val="目录项"/>
      </w:pPr>
      <w:r>
        <w:rPr>
          <w:rFonts w:ascii="Arial" w:eastAsia="微软雅黑" w:hAnsi="Arial" w:cs="Arial"/>
          <w:color w:val="8A5A3B"/>
          <w:sz w:val="16"/>
          <w:szCs w:val="16"/>
        </w:rPr>
        <w:t>04</w:t>
      </w:r>
      <w:r>
        <w:t xml:space="preserve">	包装与视觉规范	</w:t>
      </w:r>
      <w:r>
        <w:rPr>
          <w:rFonts w:ascii="Arial" w:eastAsia="微软雅黑" w:hAnsi="Arial" w:cs="Arial"/>
          <w:color w:val="7A7A72"/>
          <w:spacing w:val="30"/>
          <w:sz w:val="15"/>
          <w:szCs w:val="15"/>
        </w:rPr>
        <w:t>IDENTITY</w:t>
      </w:r>
    </w:p>
    <w:p>
      <w:pPr>
        <w:pStyle w:val="Quote"/>
        <w:spacing w:before="1200"/>
      </w:pPr>
      <w:r>
        <w:t>山里的咖啡树开花那几天，早上的雾一直压到半山腰。我们的名字从那里来。</w:t>
      </w:r>
    </w:p>
    <w:p>
      <w:r>
        <w:br w:type="page"/>
      </w:r>
    </w:p>
    <w:p>
      <w:pPr>
        <w:pStyle w:val="眉题"/>
      </w:pPr>
      <w:r>
        <w:t>01 · STORY</w:t>
      </w:r>
    </w:p>
    <w:p>
      <w:pPr>
        <w:pStyle w:val="Heading1"/>
      </w:pPr>
      <w:r>
        <w:t>品牌故事与理念</w:t>
      </w:r>
    </w:p>
    <w:p>
      <w:pPr>
        <w:pStyle w:val="导语"/>
      </w:pPr>
      <w:r>
        <w:t>雾岭是一个人经营的烘焙坊。生豆来自高黎贡山脚下的三个合作庄园，在保山的一间小烘焙室里完成烘焙、分装和寄出。</w:t>
      </w:r>
    </w:p>
    <w:p>
      <w:pPr>
        <w:pStyle w:val="Heading2"/>
      </w:pPr>
      <w:r>
        <w:t>一座山，三块地</w:t>
      </w:r>
    </w:p>
    <w:p>
      <w:r>
        <w:t>高黎贡山东坡向下一直落到怒江河谷。从江边的潞江坝到半山的百花岭，海拔差出去四百多米，气温、雨量和雾的时长都跟着变。同一个品种种在不同高度，喝起来是不同的咖啡。</w:t>
      </w:r>
    </w:p>
    <w:p>
      <w:r>
        <w:t>雾岭的三款主力豆分别来自这条坡上的三个位置：半山的石阶庄园、中段的云台庄园、靠近江岸的林家坡庄园。三块地由三户人家打理，合作的年头最短的也有四季。每年采收季，我们上山住几天，看鲜果成熟度，参与处理批次的挑选，然后按批次收豆。</w:t>
      </w:r>
    </w:p>
    <w:p>
      <w:r>
        <w:t>云南咖啡过去多被当作拼配里的基底。我们想做的事情很朴素：把一块地、一个批次的样子老实地烘出来，让人喝得出它来自哪里。</w:t>
      </w:r>
    </w:p>
    <w:p>
      <w:pPr>
        <w:pStyle w:val="Heading2"/>
      </w:pPr>
      <w:r>
        <w:t>我们守的几件事</w:t>
      </w:r>
    </w:p>
    <w:p>
      <w:pPr>
        <w:pStyle w:val="要点段"/>
      </w:pPr>
      <w:r>
        <w:rPr>
          <w:b/>
        </w:rPr>
        <w:t>按批次，不按库存。</w:t>
      </w:r>
      <w:r>
        <w:t>每袋豆子标注庄园、处理批次和烘焙日期。一个批次卖完就下架，不用别的豆子补。</w:t>
      </w:r>
    </w:p>
    <w:p>
      <w:pPr>
        <w:pStyle w:val="要点段"/>
      </w:pPr>
      <w:r>
        <w:rPr>
          <w:b/>
        </w:rPr>
        <w:t>小批量，按周烘。</w:t>
      </w:r>
      <w:r>
        <w:t>每周二烘焙，单锅不超过一点五公斤，每周总量不超过十二公斤。订单在烘焙后四十八小时内寄出。</w:t>
      </w:r>
    </w:p>
    <w:p>
      <w:pPr>
        <w:pStyle w:val="要点段"/>
      </w:pPr>
      <w:r>
        <w:rPr>
          <w:b/>
        </w:rPr>
        <w:t>价格公开。</w:t>
      </w:r>
      <w:r>
        <w:t>生豆收购价高于当季本地商品豆收购价，具体价格在年度采购记录里公开给订阅用户。</w:t>
      </w:r>
    </w:p>
    <w:p>
      <w:pPr>
        <w:pStyle w:val="要点段"/>
      </w:pPr>
      <w:r>
        <w:rPr>
          <w:b/>
        </w:rPr>
        <w:t>少说形容词。</w:t>
      </w:r>
      <w:r>
        <w:t>风味描述只写杯测时真正喝到的东西，不写烘焙师自己也喝不出的词。</w:t>
      </w:r>
    </w:p>
    <w:p>
      <w:pPr>
        <w:pStyle w:val="Heading2"/>
      </w:pPr>
      <w:r>
        <w:t>说话的方式</w:t>
      </w:r>
    </w:p>
    <w:p>
      <w:r>
        <w:t>雾岭对外的文字保持克制：短句，具体的数字，少用感叹号。说庄园时说海拔、品种和人名，说风味时说能对应到食物的东西。任何一段文案里，事实都应当多过形容。</w:t>
      </w:r>
    </w:p>
    <w:p>
      <w:r>
        <w:br w:type="page"/>
      </w:r>
    </w:p>
    <w:p>
      <w:pPr>
        <w:pStyle w:val="眉题"/>
      </w:pPr>
      <w:r>
        <w:t>02 · THE BEANS</w:t>
      </w:r>
    </w:p>
    <w:p>
      <w:pPr>
        <w:pStyle w:val="Heading1"/>
      </w:pPr>
      <w:r>
        <w:t>三款主力豆</w:t>
      </w:r>
    </w:p>
    <w:p>
      <w:pPr>
        <w:pStyle w:val="导语"/>
      </w:pPr>
      <w:r>
        <w:t>三款豆子按海拔从高到低排列，对应三种烘焙深度。风味描述来自 2025/26 采收季的杯测记录，新批次到货后会重新杯测并更新。</w:t>
      </w:r>
    </w:p>
    <w:p>
      <w:pPr>
        <w:pStyle w:val="Heading3"/>
      </w:pPr>
      <w:r>
        <w:t>NO.01 · MIST RISE</w:t>
      </w:r>
    </w:p>
    <w:p>
      <w:pPr>
        <w:pStyle w:val="Heading2"/>
        <w:pBdr>
          <w:bottom w:val="single" w:sz="6" w:space="4" w:color="2F3B34"/>
        </w:pBdr>
        <w:spacing w:before="0"/>
      </w:pPr>
      <w:r>
        <w:t>雾起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庄园</w:t>
      </w:r>
      <w:r>
        <w:t xml:space="preserve">	</w:t>
      </w:r>
      <w:r>
        <w:t>石阶庄园 · 隆阳区芒宽乡百花岭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海拔</w:t>
      </w:r>
      <w:r>
        <w:t xml:space="preserve">	</w:t>
      </w:r>
      <w:r>
        <w:t>1,450 米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品种</w:t>
      </w:r>
      <w:r>
        <w:t xml:space="preserve">	</w:t>
      </w:r>
      <w:r>
        <w:t>铁皮卡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处理法</w:t>
      </w:r>
      <w:r>
        <w:t xml:space="preserve">	</w:t>
      </w:r>
      <w:r>
        <w:t>水洗 · 发酵 36 小时 · 棚架日晒干燥 18 天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烘焙度</w:t>
      </w:r>
      <w:r>
        <w:t xml:space="preserve">	</w:t>
      </w:r>
      <w:r>
        <w:t>浅烘 · Agtron 78（整豆）· 一爆后发展 55 秒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风味</w:t>
      </w:r>
      <w:r>
        <w:t xml:space="preserve">	</w:t>
      </w:r>
      <w:r>
        <w:t>白色花香、青柠皮、红茶，回甘带甜橙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适合</w:t>
      </w:r>
      <w:r>
        <w:t xml:space="preserve">	</w:t>
      </w:r>
      <w:r>
        <w:t>手冲 · 冷萃</w:t>
      </w:r>
    </w:p>
    <w:p>
      <w:pPr>
        <w:spacing w:before="160"/>
      </w:pPr>
      <w:r>
        <w:t>石阶庄园在三块地里位置最高，午后常起雾，果实成熟慢，酸质清亮。烘焙时控制发展时间，保留花香和柑橘调，热的时候偏茶感，放凉后甜度更明显。</w:t>
      </w:r>
    </w:p>
    <w:p>
      <w:pPr>
        <w:pStyle w:val="Heading3"/>
        <w:spacing w:before="440"/>
      </w:pPr>
      <w:r>
        <w:t>NO.02 · RIDGELINE</w:t>
      </w:r>
    </w:p>
    <w:p>
      <w:pPr>
        <w:pStyle w:val="Heading2"/>
        <w:pBdr>
          <w:bottom w:val="single" w:sz="6" w:space="4" w:color="2F3B34"/>
        </w:pBdr>
        <w:spacing w:before="0"/>
      </w:pPr>
      <w:r>
        <w:t>岭线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庄园</w:t>
      </w:r>
      <w:r>
        <w:t xml:space="preserve">	</w:t>
      </w:r>
      <w:r>
        <w:t>云台庄园 · 隆阳区芒宽乡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海拔</w:t>
      </w:r>
      <w:r>
        <w:t xml:space="preserve">	</w:t>
      </w:r>
      <w:r>
        <w:t>1,280 米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品种</w:t>
      </w:r>
      <w:r>
        <w:t xml:space="preserve">	</w:t>
      </w:r>
      <w:r>
        <w:t>波邦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处理法</w:t>
      </w:r>
      <w:r>
        <w:t xml:space="preserve">	</w:t>
      </w:r>
      <w:r>
        <w:t>红蜜处理 · 保留约 60% 果胶 · 非洲床干燥 22 天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烘焙度</w:t>
      </w:r>
      <w:r>
        <w:t xml:space="preserve">	</w:t>
      </w:r>
      <w:r>
        <w:t>中浅烘 · Agtron 68（整豆）· 一爆后发展 80 秒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风味</w:t>
      </w:r>
      <w:r>
        <w:t xml:space="preserve">	</w:t>
      </w:r>
      <w:r>
        <w:t>黄桃、蜂蜜、焦糖，尾段可可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适合</w:t>
      </w:r>
      <w:r>
        <w:t xml:space="preserve">	</w:t>
      </w:r>
      <w:r>
        <w:t>手冲 · 意式单品 · 冷萃</w:t>
      </w:r>
    </w:p>
    <w:p>
      <w:pPr>
        <w:spacing w:before="160"/>
      </w:pPr>
      <w:r>
        <w:t>岭线是三款里最均衡的一支，也是订阅用户复购最多的。蜜处理带来厚一些的口感和成熟水果的甜，烘焙稍往后推，让焦糖和可可接住酸质。</w:t>
      </w:r>
    </w:p>
    <w:p>
      <w:pPr>
        <w:pStyle w:val="Heading3"/>
        <w:spacing w:before="440"/>
      </w:pPr>
      <w:r>
        <w:t>NO.03 · RIVERBANK</w:t>
      </w:r>
    </w:p>
    <w:p>
      <w:pPr>
        <w:pStyle w:val="Heading2"/>
        <w:pBdr>
          <w:bottom w:val="single" w:sz="6" w:space="4" w:color="2F3B34"/>
        </w:pBdr>
        <w:spacing w:before="0"/>
      </w:pPr>
      <w:r>
        <w:t>江岸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庄园</w:t>
      </w:r>
      <w:r>
        <w:t xml:space="preserve">	</w:t>
      </w:r>
      <w:r>
        <w:t>林家坡庄园 · 隆阳区潞江镇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海拔</w:t>
      </w:r>
      <w:r>
        <w:t xml:space="preserve">	</w:t>
      </w:r>
      <w:r>
        <w:t>1,050 米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品种</w:t>
      </w:r>
      <w:r>
        <w:t xml:space="preserve">	</w:t>
      </w:r>
      <w:r>
        <w:t>卡蒂姆 P7963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处理法</w:t>
      </w:r>
      <w:r>
        <w:t xml:space="preserve">	</w:t>
      </w:r>
      <w:r>
        <w:t>日晒 · 整果干燥 28 天 · 每日翻动四次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烘焙度</w:t>
      </w:r>
      <w:r>
        <w:t xml:space="preserve">	</w:t>
      </w:r>
      <w:r>
        <w:t>中深烘 · Agtron 55（整豆）· 二爆前出锅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风味</w:t>
      </w:r>
      <w:r>
        <w:t xml:space="preserve">	</w:t>
      </w:r>
      <w:r>
        <w:t>黑巧克力、烤榛子、红枣，甘蔗般的甜感</w:t>
      </w:r>
    </w:p>
    <w:p>
      <w:pPr>
        <w:pStyle w:val="规格"/>
      </w:pPr>
      <w:r>
        <w:rPr>
          <w:rFonts w:ascii="Arial" w:eastAsia="微软雅黑" w:hAnsi="Arial" w:cs="Arial"/>
          <w:color w:val="8A5A3B"/>
          <w:sz w:val="16"/>
          <w:szCs w:val="16"/>
        </w:rPr>
        <w:t>适合</w:t>
      </w:r>
      <w:r>
        <w:t xml:space="preserve">	</w:t>
      </w:r>
      <w:r>
        <w:t>意式 · 加奶饮品 · 冷萃</w:t>
      </w:r>
    </w:p>
    <w:p>
      <w:pPr>
        <w:spacing w:before="160"/>
      </w:pPr>
      <w:r>
        <w:t>江岸来自潞江坝，河谷热，日照足。日晒处理把果实的甜留进豆子，中深烘焙让它在牛奶里站得住。做意式浓缩时油脂细密，做拿铁时巧克力感清楚。</w:t>
      </w:r>
    </w:p>
    <w:p>
      <w:r>
        <w:br w:type="page"/>
      </w:r>
    </w:p>
    <w:p>
      <w:pPr>
        <w:pStyle w:val="眉题"/>
      </w:pPr>
      <w:r>
        <w:t>03 · BREWING</w:t>
      </w:r>
    </w:p>
    <w:p>
      <w:pPr>
        <w:pStyle w:val="Heading1"/>
      </w:pPr>
      <w:r>
        <w:t>冲煮参数</w:t>
      </w:r>
    </w:p>
    <w:p>
      <w:pPr>
        <w:pStyle w:val="导语"/>
      </w:pPr>
      <w:r>
        <w:t>以下参数是烘焙后第 7 至 21 天的建议起点。研磨刻度以 Comandante C40 和 EK43 为参照，其他磨豆机请按粗细描述调整。</w:t>
      </w:r>
    </w:p>
    <w:p>
      <w:pPr>
        <w:pStyle w:val="Heading2"/>
        <w:spacing w:before="120"/>
      </w:pPr>
      <w:r>
        <w:t>手冲 · Pour Over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06"/>
        <w:gridCol w:w="2134"/>
        <w:gridCol w:w="2133"/>
        <w:gridCol w:w="2133"/>
      </w:tblGrid>
      <w:tr>
        <w:tc>
          <w:tcPr>
            <w:tcW w:w="1906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参数</w:t>
            </w:r>
          </w:p>
        </w:tc>
        <w:tc>
          <w:tcPr>
            <w:tcW w:w="2134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雾起</w:t>
            </w:r>
          </w:p>
        </w:tc>
        <w:tc>
          <w:tcPr>
            <w:tcW w:w="2133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岭线</w:t>
            </w:r>
          </w:p>
        </w:tc>
        <w:tc>
          <w:tcPr>
            <w:tcW w:w="2133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江岸</w:t>
            </w:r>
          </w:p>
        </w:tc>
      </w:tr>
      <w:tr>
        <w:tc>
          <w:tcPr>
            <w:tcW w:w="1906" w:type="dxa"/>
            <w:vAlign w:val="center"/>
          </w:tcPr>
          <w:p>
            <w:pPr>
              <w:pStyle w:val="表文"/>
            </w:pPr>
            <w:r>
              <w:t>粉量 / 水量</w:t>
            </w:r>
          </w:p>
        </w:tc>
        <w:tc>
          <w:tcPr>
            <w:tcW w:w="2134" w:type="dxa"/>
            <w:vAlign w:val="center"/>
          </w:tcPr>
          <w:p>
            <w:pPr>
              <w:pStyle w:val="表文"/>
            </w:pPr>
            <w:r>
              <w:t>15 g / 240 g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15 g / 240 g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15 g / 225 g</w:t>
            </w:r>
          </w:p>
        </w:tc>
      </w:tr>
      <w:tr>
        <w:tc>
          <w:tcPr>
            <w:tcW w:w="1906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粉水比</w:t>
            </w:r>
          </w:p>
        </w:tc>
        <w:tc>
          <w:tcPr>
            <w:tcW w:w="2134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1 : 16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1 : 16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1 : 15</w:t>
            </w:r>
          </w:p>
        </w:tc>
      </w:tr>
      <w:tr>
        <w:tc>
          <w:tcPr>
            <w:tcW w:w="1906" w:type="dxa"/>
            <w:vAlign w:val="center"/>
          </w:tcPr>
          <w:p>
            <w:pPr>
              <w:pStyle w:val="表文"/>
            </w:pPr>
            <w:r>
              <w:t>水温</w:t>
            </w:r>
          </w:p>
        </w:tc>
        <w:tc>
          <w:tcPr>
            <w:tcW w:w="2134" w:type="dxa"/>
            <w:vAlign w:val="center"/>
          </w:tcPr>
          <w:p>
            <w:pPr>
              <w:pStyle w:val="表文"/>
            </w:pPr>
            <w:r>
              <w:t>93 ℃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91 ℃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88 ℃</w:t>
            </w:r>
          </w:p>
        </w:tc>
      </w:tr>
      <w:tr>
        <w:tc>
          <w:tcPr>
            <w:tcW w:w="1906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研磨</w:t>
            </w:r>
          </w:p>
        </w:tc>
        <w:tc>
          <w:tcPr>
            <w:tcW w:w="2134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中细 · C40 24 格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中细 · C40 25 格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中 · C40 27 格</w:t>
            </w:r>
          </w:p>
        </w:tc>
      </w:tr>
      <w:tr>
        <w:tc>
          <w:tcPr>
            <w:tcW w:w="1906" w:type="dxa"/>
            <w:vAlign w:val="center"/>
          </w:tcPr>
          <w:p>
            <w:pPr>
              <w:pStyle w:val="表文"/>
            </w:pPr>
            <w:r>
              <w:t>注水</w:t>
            </w:r>
          </w:p>
        </w:tc>
        <w:tc>
          <w:tcPr>
            <w:tcW w:w="2134" w:type="dxa"/>
            <w:vAlign w:val="center"/>
          </w:tcPr>
          <w:p>
            <w:pPr>
              <w:pStyle w:val="表文"/>
            </w:pPr>
            <w:r>
              <w:t>闷蒸 40 g / 30 s，分三段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闷蒸 40 g / 30 s，分三段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闷蒸 35 g / 30 s，分两段</w:t>
            </w:r>
          </w:p>
        </w:tc>
      </w:tr>
      <w:tr>
        <w:tc>
          <w:tcPr>
            <w:tcW w:w="1906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总时间</w:t>
            </w:r>
          </w:p>
        </w:tc>
        <w:tc>
          <w:tcPr>
            <w:tcW w:w="2134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2:10 – 2:30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2:15 – 2:35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2:00 – 2:20</w:t>
            </w:r>
          </w:p>
        </w:tc>
      </w:tr>
    </w:tbl>
    <w:p>
      <w:pPr>
        <w:pStyle w:val="题注"/>
      </w:pPr>
      <w:r>
        <w:t>滤杯参照 V60 02。酸感尖锐时调细一格或升温 1 ℃；苦涩或收尾发干时调粗一格。</w:t>
      </w:r>
    </w:p>
    <w:p>
      <w:pPr>
        <w:pStyle w:val="Heading2"/>
      </w:pPr>
      <w:r>
        <w:t>意式 · Espresso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06"/>
        <w:gridCol w:w="2134"/>
        <w:gridCol w:w="2133"/>
        <w:gridCol w:w="2133"/>
      </w:tblGrid>
      <w:tr>
        <w:tc>
          <w:tcPr>
            <w:tcW w:w="1906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参数</w:t>
            </w:r>
          </w:p>
        </w:tc>
        <w:tc>
          <w:tcPr>
            <w:tcW w:w="2134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雾起</w:t>
            </w:r>
          </w:p>
        </w:tc>
        <w:tc>
          <w:tcPr>
            <w:tcW w:w="2133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岭线</w:t>
            </w:r>
          </w:p>
        </w:tc>
        <w:tc>
          <w:tcPr>
            <w:tcW w:w="2133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江岸</w:t>
            </w:r>
          </w:p>
        </w:tc>
      </w:tr>
      <w:tr>
        <w:tc>
          <w:tcPr>
            <w:tcW w:w="1906" w:type="dxa"/>
            <w:vAlign w:val="center"/>
          </w:tcPr>
          <w:p>
            <w:pPr>
              <w:pStyle w:val="表文"/>
            </w:pPr>
            <w:r>
              <w:t>粉量</w:t>
            </w:r>
          </w:p>
        </w:tc>
        <w:tc>
          <w:tcPr>
            <w:tcW w:w="2134" w:type="dxa"/>
            <w:vAlign w:val="center"/>
          </w:tcPr>
          <w:p>
            <w:pPr>
              <w:pStyle w:val="表文"/>
            </w:pPr>
            <w:r>
              <w:t>18 g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18 g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18 g</w:t>
            </w:r>
          </w:p>
        </w:tc>
      </w:tr>
      <w:tr>
        <w:tc>
          <w:tcPr>
            <w:tcW w:w="1906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液重</w:t>
            </w:r>
          </w:p>
        </w:tc>
        <w:tc>
          <w:tcPr>
            <w:tcW w:w="2134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42 g（1 : 2.3）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38 g（1 : 2.1）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36 g（1 : 2）</w:t>
            </w:r>
          </w:p>
        </w:tc>
      </w:tr>
      <w:tr>
        <w:tc>
          <w:tcPr>
            <w:tcW w:w="1906" w:type="dxa"/>
            <w:vAlign w:val="center"/>
          </w:tcPr>
          <w:p>
            <w:pPr>
              <w:pStyle w:val="表文"/>
            </w:pPr>
            <w:r>
              <w:t>水温</w:t>
            </w:r>
          </w:p>
        </w:tc>
        <w:tc>
          <w:tcPr>
            <w:tcW w:w="2134" w:type="dxa"/>
            <w:vAlign w:val="center"/>
          </w:tcPr>
          <w:p>
            <w:pPr>
              <w:pStyle w:val="表文"/>
            </w:pPr>
            <w:r>
              <w:t>94 ℃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93 ℃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91 ℃</w:t>
            </w:r>
          </w:p>
        </w:tc>
      </w:tr>
      <w:tr>
        <w:tc>
          <w:tcPr>
            <w:tcW w:w="1906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萃取时间</w:t>
            </w:r>
          </w:p>
        </w:tc>
        <w:tc>
          <w:tcPr>
            <w:tcW w:w="2134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27 – 31 s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26 – 30 s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25 – 28 s</w:t>
            </w:r>
          </w:p>
        </w:tc>
      </w:tr>
      <w:tr>
        <w:tc>
          <w:tcPr>
            <w:tcW w:w="1906" w:type="dxa"/>
            <w:vAlign w:val="center"/>
          </w:tcPr>
          <w:p>
            <w:pPr>
              <w:pStyle w:val="表文"/>
            </w:pPr>
            <w:r>
              <w:t>压力</w:t>
            </w:r>
          </w:p>
        </w:tc>
        <w:tc>
          <w:tcPr>
            <w:tcW w:w="2134" w:type="dxa"/>
            <w:vAlign w:val="center"/>
          </w:tcPr>
          <w:p>
            <w:pPr>
              <w:pStyle w:val="表文"/>
            </w:pPr>
            <w:r>
              <w:t>9 bar，预浸 5 s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9 bar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9 bar</w:t>
            </w:r>
          </w:p>
        </w:tc>
      </w:tr>
      <w:tr>
        <w:tc>
          <w:tcPr>
            <w:tcW w:w="1906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建议饮用</w:t>
            </w:r>
          </w:p>
        </w:tc>
        <w:tc>
          <w:tcPr>
            <w:tcW w:w="2134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单饮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单饮 · 澳白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拿铁 · 卡布奇诺</w:t>
            </w:r>
          </w:p>
        </w:tc>
      </w:tr>
    </w:tbl>
    <w:p>
      <w:pPr>
        <w:pStyle w:val="题注"/>
      </w:pPr>
      <w:r>
        <w:t>意式用豆建议养豆 10 天以上。雾起为浅烘，做浓缩需要更细的研磨和更长的液重比。</w:t>
      </w:r>
    </w:p>
    <w:p>
      <w:pPr>
        <w:pStyle w:val="Heading2"/>
        <w:pageBreakBefore/>
      </w:pPr>
      <w:r>
        <w:t>冷萃 · Cold Brew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06"/>
        <w:gridCol w:w="2134"/>
        <w:gridCol w:w="2133"/>
        <w:gridCol w:w="2133"/>
      </w:tblGrid>
      <w:tr>
        <w:tc>
          <w:tcPr>
            <w:tcW w:w="1906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参数</w:t>
            </w:r>
          </w:p>
        </w:tc>
        <w:tc>
          <w:tcPr>
            <w:tcW w:w="2134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雾起</w:t>
            </w:r>
          </w:p>
        </w:tc>
        <w:tc>
          <w:tcPr>
            <w:tcW w:w="2133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岭线</w:t>
            </w:r>
          </w:p>
        </w:tc>
        <w:tc>
          <w:tcPr>
            <w:tcW w:w="2133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江岸</w:t>
            </w:r>
          </w:p>
        </w:tc>
      </w:tr>
      <w:tr>
        <w:tc>
          <w:tcPr>
            <w:tcW w:w="1906" w:type="dxa"/>
            <w:vAlign w:val="center"/>
          </w:tcPr>
          <w:p>
            <w:pPr>
              <w:pStyle w:val="表文"/>
            </w:pPr>
            <w:r>
              <w:t>粉量 / 水量</w:t>
            </w:r>
          </w:p>
        </w:tc>
        <w:tc>
          <w:tcPr>
            <w:tcW w:w="2134" w:type="dxa"/>
            <w:vAlign w:val="center"/>
          </w:tcPr>
          <w:p>
            <w:pPr>
              <w:pStyle w:val="表文"/>
            </w:pPr>
            <w:r>
              <w:t>80 g / 1,000 g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90 g / 1,000 g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100 g / 1,000 g</w:t>
            </w:r>
          </w:p>
        </w:tc>
      </w:tr>
      <w:tr>
        <w:tc>
          <w:tcPr>
            <w:tcW w:w="1906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研磨</w:t>
            </w:r>
          </w:p>
        </w:tc>
        <w:tc>
          <w:tcPr>
            <w:tcW w:w="2134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粗 · EK43 刻度 11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粗 · EK43 刻度 11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粗 · EK43 刻度 12</w:t>
            </w:r>
          </w:p>
        </w:tc>
      </w:tr>
      <w:tr>
        <w:tc>
          <w:tcPr>
            <w:tcW w:w="1906" w:type="dxa"/>
            <w:vAlign w:val="center"/>
          </w:tcPr>
          <w:p>
            <w:pPr>
              <w:pStyle w:val="表文"/>
            </w:pPr>
            <w:r>
              <w:t>水温 / 环境</w:t>
            </w:r>
          </w:p>
        </w:tc>
        <w:tc>
          <w:tcPr>
            <w:tcW w:w="2134" w:type="dxa"/>
            <w:vAlign w:val="center"/>
          </w:tcPr>
          <w:p>
            <w:pPr>
              <w:pStyle w:val="表文"/>
            </w:pPr>
            <w:r>
              <w:t>常温水，4 ℃ 冷藏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常温水，4 ℃ 冷藏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常温水，4 ℃ 冷藏</w:t>
            </w:r>
          </w:p>
        </w:tc>
      </w:tr>
      <w:tr>
        <w:tc>
          <w:tcPr>
            <w:tcW w:w="1906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浸泡时间</w:t>
            </w:r>
          </w:p>
        </w:tc>
        <w:tc>
          <w:tcPr>
            <w:tcW w:w="2134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14 小时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16 小时</w:t>
            </w:r>
          </w:p>
        </w:tc>
        <w:tc>
          <w:tcPr>
            <w:tcW w:w="2133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18 小时</w:t>
            </w:r>
          </w:p>
        </w:tc>
      </w:tr>
      <w:tr>
        <w:tc>
          <w:tcPr>
            <w:tcW w:w="1906" w:type="dxa"/>
            <w:vAlign w:val="center"/>
          </w:tcPr>
          <w:p>
            <w:pPr>
              <w:pStyle w:val="表文"/>
            </w:pPr>
            <w:r>
              <w:t>饮用</w:t>
            </w:r>
          </w:p>
        </w:tc>
        <w:tc>
          <w:tcPr>
            <w:tcW w:w="2134" w:type="dxa"/>
            <w:vAlign w:val="center"/>
          </w:tcPr>
          <w:p>
            <w:pPr>
              <w:pStyle w:val="表文"/>
            </w:pPr>
            <w:r>
              <w:t>直饮，或加冰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直饮，或 1 : 1 兑冰水</w:t>
            </w:r>
          </w:p>
        </w:tc>
        <w:tc>
          <w:tcPr>
            <w:tcW w:w="2133" w:type="dxa"/>
            <w:vAlign w:val="center"/>
          </w:tcPr>
          <w:p>
            <w:pPr>
              <w:pStyle w:val="表文"/>
            </w:pPr>
            <w:r>
              <w:t>1 : 1 兑牛奶</w:t>
            </w:r>
          </w:p>
        </w:tc>
      </w:tr>
    </w:tbl>
    <w:p>
      <w:pPr>
        <w:pStyle w:val="题注"/>
      </w:pPr>
      <w:r>
        <w:t>过滤后冷藏保存，三天内喝完。</w:t>
      </w:r>
    </w:p>
    <w:p>
      <w:r>
        <w:br w:type="page"/>
      </w:r>
    </w:p>
    <w:p>
      <w:pPr>
        <w:pStyle w:val="眉题"/>
      </w:pPr>
      <w:r>
        <w:t>04 · IDENTITY</w:t>
      </w:r>
    </w:p>
    <w:p>
      <w:pPr>
        <w:pStyle w:val="Heading1"/>
      </w:pPr>
      <w:r>
        <w:t>包装与视觉规范</w:t>
      </w:r>
    </w:p>
    <w:p>
      <w:pPr>
        <w:pStyle w:val="导语"/>
      </w:pPr>
      <w:r>
        <w:t>视觉的出发点是山间清晨：雾的灰白、林线的深绿、烘焙后豆子的褐。三种颜色，一套字体，一种标签。</w:t>
      </w:r>
    </w:p>
    <w:p>
      <w:pPr>
        <w:pStyle w:val="Heading2"/>
        <w:spacing w:before="120"/>
      </w:pPr>
      <w:r>
        <w:t>主色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0"/>
        <w:gridCol w:w="1906"/>
        <w:gridCol w:w="1500"/>
        <w:gridCol w:w="1900"/>
        <w:gridCol w:w="1900"/>
      </w:tblGrid>
      <w:tr>
        <w:tc>
          <w:tcPr>
            <w:tcW w:w="1100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色样</w:t>
            </w:r>
          </w:p>
        </w:tc>
        <w:tc>
          <w:tcPr>
            <w:tcW w:w="1906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名称</w:t>
            </w:r>
          </w:p>
        </w:tc>
        <w:tc>
          <w:tcPr>
            <w:tcW w:w="1500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HEX</w:t>
            </w:r>
          </w:p>
        </w:tc>
        <w:tc>
          <w:tcPr>
            <w:tcW w:w="1900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RGB</w:t>
            </w:r>
          </w:p>
        </w:tc>
        <w:tc>
          <w:tcPr>
            <w:tcW w:w="1900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CMYK（印刷参考）</w:t>
            </w:r>
          </w:p>
        </w:tc>
      </w:tr>
      <w:tr>
        <w:tc>
          <w:tcPr>
            <w:tcW w:w="1100" w:type="dxa"/>
            <w:shd w:val="clear" w:color="auto" w:fill="2F3B34"/>
            <w:vAlign w:val="center"/>
          </w:tcPr>
          <w:p>
            <w:pPr>
              <w:pStyle w:val="表文"/>
              <w:shd w:val="clear" w:color="auto" w:fill="2F3B34"/>
            </w:pPr>
            <w:r>
              <w:t xml:space="preserve"> </w:t>
            </w:r>
          </w:p>
        </w:tc>
        <w:tc>
          <w:tcPr>
            <w:tcW w:w="1906" w:type="dxa"/>
            <w:vAlign w:val="center"/>
          </w:tcPr>
          <w:p>
            <w:pPr>
              <w:pStyle w:val="表文"/>
            </w:pPr>
            <w:r>
              <w:rPr>
                <w:b/>
              </w:rPr>
              <w:t>岭墨绿</w:t>
            </w:r>
            <w:r>
              <w:br/>
            </w:r>
            <w:r>
              <w:t>主色 · 字标、标题</w:t>
            </w:r>
          </w:p>
        </w:tc>
        <w:tc>
          <w:tcPr>
            <w:tcW w:w="1500" w:type="dxa"/>
            <w:vAlign w:val="center"/>
          </w:tcPr>
          <w:p>
            <w:pPr>
              <w:pStyle w:val="表文"/>
            </w:pPr>
            <w:r>
              <w:t>#2F3B34</w:t>
            </w:r>
          </w:p>
        </w:tc>
        <w:tc>
          <w:tcPr>
            <w:tcW w:w="1900" w:type="dxa"/>
            <w:vAlign w:val="center"/>
          </w:tcPr>
          <w:p>
            <w:pPr>
              <w:pStyle w:val="表文"/>
            </w:pPr>
            <w:r>
              <w:t>47 59 52</w:t>
            </w:r>
          </w:p>
        </w:tc>
        <w:tc>
          <w:tcPr>
            <w:tcW w:w="1900" w:type="dxa"/>
            <w:vAlign w:val="center"/>
          </w:tcPr>
          <w:p>
            <w:pPr>
              <w:pStyle w:val="表文"/>
            </w:pPr>
            <w:r>
              <w:t>75 55 70 55</w:t>
            </w:r>
          </w:p>
        </w:tc>
      </w:tr>
      <w:tr>
        <w:tc>
          <w:tcPr>
            <w:tcW w:w="1100" w:type="dxa"/>
            <w:shd w:val="clear" w:color="auto" w:fill="E6E3DC"/>
            <w:vAlign w:val="center"/>
          </w:tcPr>
          <w:p>
            <w:pPr>
              <w:pStyle w:val="表文"/>
              <w:shd w:val="clear" w:color="auto" w:fill="E6E3DC"/>
            </w:pPr>
            <w:r>
              <w:t xml:space="preserve"> </w:t>
            </w:r>
          </w:p>
        </w:tc>
        <w:tc>
          <w:tcPr>
            <w:tcW w:w="1906" w:type="dxa"/>
            <w:vAlign w:val="center"/>
          </w:tcPr>
          <w:p>
            <w:pPr>
              <w:pStyle w:val="表文"/>
            </w:pPr>
            <w:r>
              <w:rPr>
                <w:b/>
              </w:rPr>
              <w:t>晨雾白</w:t>
            </w:r>
            <w:r>
              <w:br/>
            </w:r>
            <w:r>
              <w:t>底色 · 标签纸</w:t>
            </w:r>
          </w:p>
        </w:tc>
        <w:tc>
          <w:tcPr>
            <w:tcW w:w="1500" w:type="dxa"/>
            <w:vAlign w:val="center"/>
          </w:tcPr>
          <w:p>
            <w:pPr>
              <w:pStyle w:val="表文"/>
            </w:pPr>
            <w:r>
              <w:t>#E6E3DC</w:t>
            </w:r>
          </w:p>
        </w:tc>
        <w:tc>
          <w:tcPr>
            <w:tcW w:w="1900" w:type="dxa"/>
            <w:vAlign w:val="center"/>
          </w:tcPr>
          <w:p>
            <w:pPr>
              <w:pStyle w:val="表文"/>
            </w:pPr>
            <w:r>
              <w:t>230 227 220</w:t>
            </w:r>
          </w:p>
        </w:tc>
        <w:tc>
          <w:tcPr>
            <w:tcW w:w="1900" w:type="dxa"/>
            <w:vAlign w:val="center"/>
          </w:tcPr>
          <w:p>
            <w:pPr>
              <w:pStyle w:val="表文"/>
            </w:pPr>
            <w:r>
              <w:t>8 8 12 0</w:t>
            </w:r>
          </w:p>
        </w:tc>
      </w:tr>
      <w:tr>
        <w:tc>
          <w:tcPr>
            <w:tcW w:w="1100" w:type="dxa"/>
            <w:shd w:val="clear" w:color="auto" w:fill="8A5A3B"/>
            <w:vAlign w:val="center"/>
          </w:tcPr>
          <w:p>
            <w:pPr>
              <w:pStyle w:val="表文"/>
              <w:shd w:val="clear" w:color="auto" w:fill="8A5A3B"/>
            </w:pPr>
            <w:r>
              <w:t xml:space="preserve"> </w:t>
            </w:r>
          </w:p>
        </w:tc>
        <w:tc>
          <w:tcPr>
            <w:tcW w:w="1906" w:type="dxa"/>
            <w:vAlign w:val="center"/>
          </w:tcPr>
          <w:p>
            <w:pPr>
              <w:pStyle w:val="表文"/>
            </w:pPr>
            <w:r>
              <w:rPr>
                <w:b/>
              </w:rPr>
              <w:t>焙褐</w:t>
            </w:r>
            <w:r>
              <w:br/>
            </w:r>
            <w:r>
              <w:t>点缀 · 编号、批次</w:t>
            </w:r>
          </w:p>
        </w:tc>
        <w:tc>
          <w:tcPr>
            <w:tcW w:w="1500" w:type="dxa"/>
            <w:vAlign w:val="center"/>
          </w:tcPr>
          <w:p>
            <w:pPr>
              <w:pStyle w:val="表文"/>
            </w:pPr>
            <w:r>
              <w:t>#8A5A3B</w:t>
            </w:r>
          </w:p>
        </w:tc>
        <w:tc>
          <w:tcPr>
            <w:tcW w:w="1900" w:type="dxa"/>
            <w:vAlign w:val="center"/>
          </w:tcPr>
          <w:p>
            <w:pPr>
              <w:pStyle w:val="表文"/>
            </w:pPr>
            <w:r>
              <w:t>138 90 59</w:t>
            </w:r>
          </w:p>
        </w:tc>
        <w:tc>
          <w:tcPr>
            <w:tcW w:w="1900" w:type="dxa"/>
            <w:vAlign w:val="center"/>
          </w:tcPr>
          <w:p>
            <w:pPr>
              <w:pStyle w:val="表文"/>
            </w:pPr>
            <w:r>
              <w:t>30 60 80 25</w:t>
            </w:r>
          </w:p>
        </w:tc>
      </w:tr>
    </w:tbl>
    <w:p>
      <w:pPr>
        <w:pStyle w:val="题注"/>
      </w:pPr>
      <w:r>
        <w:t>色彩面积比约为 晨雾白 70 : 岭墨绿 25 : 焙褐 5。CMYK 值为参考起点，每批印刷前以打样校色为准。</w:t>
      </w:r>
    </w:p>
    <w:p>
      <w:pPr>
        <w:pStyle w:val="Heading2"/>
      </w:pPr>
      <w:r>
        <w:t>字体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06"/>
        <w:gridCol w:w="3200"/>
        <w:gridCol w:w="3200"/>
      </w:tblGrid>
      <w:tr>
        <w:tc>
          <w:tcPr>
            <w:tcW w:w="1906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用途</w:t>
            </w:r>
          </w:p>
        </w:tc>
        <w:tc>
          <w:tcPr>
            <w:tcW w:w="3200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中文</w:t>
            </w:r>
          </w:p>
        </w:tc>
        <w:tc>
          <w:tcPr>
            <w:tcW w:w="3200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西文</w:t>
            </w:r>
          </w:p>
        </w:tc>
      </w:tr>
      <w:tr>
        <w:tc>
          <w:tcPr>
            <w:tcW w:w="1906" w:type="dxa"/>
            <w:vAlign w:val="center"/>
          </w:tcPr>
          <w:p>
            <w:pPr>
              <w:pStyle w:val="表文"/>
            </w:pPr>
            <w:r>
              <w:t>字标与标题</w:t>
            </w:r>
          </w:p>
        </w:tc>
        <w:tc>
          <w:tcPr>
            <w:tcW w:w="3200" w:type="dxa"/>
            <w:vAlign w:val="center"/>
          </w:tcPr>
          <w:p>
            <w:pPr>
              <w:pStyle w:val="表文"/>
            </w:pPr>
            <w:r>
              <w:t>思源宋体 SemiBold</w:t>
            </w:r>
          </w:p>
        </w:tc>
        <w:tc>
          <w:tcPr>
            <w:tcW w:w="3200" w:type="dxa"/>
            <w:vAlign w:val="center"/>
          </w:tcPr>
          <w:p>
            <w:pPr>
              <w:pStyle w:val="表文"/>
            </w:pPr>
            <w:r>
              <w:t>Cormorant Garamond Medium</w:t>
            </w:r>
          </w:p>
        </w:tc>
      </w:tr>
      <w:tr>
        <w:tc>
          <w:tcPr>
            <w:tcW w:w="1906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正文与说明</w:t>
            </w:r>
          </w:p>
        </w:tc>
        <w:tc>
          <w:tcPr>
            <w:tcW w:w="3200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思源宋体 Regular</w:t>
            </w:r>
          </w:p>
        </w:tc>
        <w:tc>
          <w:tcPr>
            <w:tcW w:w="3200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Cormorant Garamond Regular</w:t>
            </w:r>
          </w:p>
        </w:tc>
      </w:tr>
      <w:tr>
        <w:tc>
          <w:tcPr>
            <w:tcW w:w="1906" w:type="dxa"/>
            <w:vAlign w:val="center"/>
          </w:tcPr>
          <w:p>
            <w:pPr>
              <w:pStyle w:val="表文"/>
            </w:pPr>
            <w:r>
              <w:t>参数与批次</w:t>
            </w:r>
          </w:p>
        </w:tc>
        <w:tc>
          <w:tcPr>
            <w:tcW w:w="3200" w:type="dxa"/>
            <w:vAlign w:val="center"/>
          </w:tcPr>
          <w:p>
            <w:pPr>
              <w:pStyle w:val="表文"/>
            </w:pPr>
            <w:r>
              <w:t>思源黑体 Regular</w:t>
            </w:r>
          </w:p>
        </w:tc>
        <w:tc>
          <w:tcPr>
            <w:tcW w:w="3200" w:type="dxa"/>
            <w:vAlign w:val="center"/>
          </w:tcPr>
          <w:p>
            <w:pPr>
              <w:pStyle w:val="表文"/>
            </w:pPr>
            <w:r>
              <w:t>IBM Plex Mono Regular</w:t>
            </w:r>
          </w:p>
        </w:tc>
      </w:tr>
    </w:tbl>
    <w:p>
      <w:pPr>
        <w:pStyle w:val="题注"/>
      </w:pPr>
      <w:r>
        <w:t>以上字体均为开源授权（SIL OFL），可用于商业印刷与网店。西文字标 MISTRIDGE 统一使用全大写，字距 +200。</w:t>
      </w:r>
    </w:p>
    <w:p>
      <w:pPr>
        <w:pStyle w:val="Heading2"/>
        <w:pageBreakBefore/>
      </w:pPr>
      <w:r>
        <w:t>标签版式</w:t>
      </w:r>
    </w:p>
    <w:p>
      <w:r>
        <w:t>标签尺寸 80 × 120 mm，贴于 250 g 牛皮纸自立袋正面居中。纸材为晨雾白哑面不干胶，文字单色印岭墨绿，仅豆款编号与批次号使用焙褐。版面自上而下分为五个区：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00"/>
        <w:gridCol w:w="1600"/>
        <w:gridCol w:w="5206"/>
      </w:tblGrid>
      <w:tr>
        <w:tc>
          <w:tcPr>
            <w:tcW w:w="1500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区域</w:t>
            </w:r>
          </w:p>
        </w:tc>
        <w:tc>
          <w:tcPr>
            <w:tcW w:w="1600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高度</w:t>
            </w:r>
          </w:p>
        </w:tc>
        <w:tc>
          <w:tcPr>
            <w:tcW w:w="5206" w:type="dxa"/>
            <w:shd w:val="clear" w:color="auto" w:fill="2F3B34"/>
            <w:vAlign w:val="center"/>
          </w:tcPr>
          <w:p>
            <w:pPr>
              <w:pStyle w:val="表头"/>
              <w:shd w:val="clear" w:color="auto" w:fill="2F3B34"/>
            </w:pPr>
            <w:r>
              <w:t>内容与字号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表文"/>
            </w:pPr>
            <w:r>
              <w:t>A · 字标</w:t>
            </w:r>
          </w:p>
        </w:tc>
        <w:tc>
          <w:tcPr>
            <w:tcW w:w="1600" w:type="dxa"/>
            <w:vAlign w:val="center"/>
          </w:tcPr>
          <w:p>
            <w:pPr>
              <w:pStyle w:val="表文"/>
            </w:pPr>
            <w:r>
              <w:t>22 mm</w:t>
            </w:r>
          </w:p>
        </w:tc>
        <w:tc>
          <w:tcPr>
            <w:tcW w:w="5206" w:type="dxa"/>
            <w:vAlign w:val="center"/>
          </w:tcPr>
          <w:p>
            <w:pPr>
              <w:pStyle w:val="表文"/>
            </w:pPr>
            <w:r>
              <w:t>雾岭 / MISTRIDGE 字标，居中；下方 0.5 pt 细线</w:t>
            </w:r>
          </w:p>
        </w:tc>
      </w:tr>
      <w:tr>
        <w:tc>
          <w:tcPr>
            <w:tcW w:w="1500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B · 豆名</w:t>
            </w:r>
          </w:p>
        </w:tc>
        <w:tc>
          <w:tcPr>
            <w:tcW w:w="1600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30 mm</w:t>
            </w:r>
          </w:p>
        </w:tc>
        <w:tc>
          <w:tcPr>
            <w:tcW w:w="5206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编号（焙褐，8 pt）· 中文豆名（24 pt）· 西文豆名（10 pt）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表文"/>
            </w:pPr>
            <w:r>
              <w:t>C · 产地</w:t>
            </w:r>
          </w:p>
        </w:tc>
        <w:tc>
          <w:tcPr>
            <w:tcW w:w="1600" w:type="dxa"/>
            <w:vAlign w:val="center"/>
          </w:tcPr>
          <w:p>
            <w:pPr>
              <w:pStyle w:val="表文"/>
            </w:pPr>
            <w:r>
              <w:t>28 mm</w:t>
            </w:r>
          </w:p>
        </w:tc>
        <w:tc>
          <w:tcPr>
            <w:tcW w:w="5206" w:type="dxa"/>
            <w:vAlign w:val="center"/>
          </w:tcPr>
          <w:p>
            <w:pPr>
              <w:pStyle w:val="表文"/>
            </w:pPr>
            <w:r>
              <w:t>庄园、海拔、品种、处理法、烘焙度，左对齐两栏，8 pt</w:t>
            </w:r>
          </w:p>
        </w:tc>
      </w:tr>
      <w:tr>
        <w:tc>
          <w:tcPr>
            <w:tcW w:w="1500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D · 风味</w:t>
            </w:r>
          </w:p>
        </w:tc>
        <w:tc>
          <w:tcPr>
            <w:tcW w:w="1600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20 mm</w:t>
            </w:r>
          </w:p>
        </w:tc>
        <w:tc>
          <w:tcPr>
            <w:tcW w:w="5206" w:type="dxa"/>
            <w:shd w:val="clear" w:color="auto" w:fill="EFEDE8"/>
            <w:vAlign w:val="center"/>
          </w:tcPr>
          <w:p>
            <w:pPr>
              <w:pStyle w:val="表文"/>
              <w:shd w:val="clear" w:color="auto" w:fill="EFEDE8"/>
            </w:pPr>
            <w:r>
              <w:t>三至四个风味词，思源宋体 10 pt，词间以 · 分隔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表文"/>
            </w:pPr>
            <w:r>
              <w:t>E · 批次</w:t>
            </w:r>
          </w:p>
        </w:tc>
        <w:tc>
          <w:tcPr>
            <w:tcW w:w="1600" w:type="dxa"/>
            <w:vAlign w:val="center"/>
          </w:tcPr>
          <w:p>
            <w:pPr>
              <w:pStyle w:val="表文"/>
            </w:pPr>
            <w:r>
              <w:t>20 mm</w:t>
            </w:r>
          </w:p>
        </w:tc>
        <w:tc>
          <w:tcPr>
            <w:tcW w:w="5206" w:type="dxa"/>
            <w:vAlign w:val="center"/>
          </w:tcPr>
          <w:p>
            <w:pPr>
              <w:pStyle w:val="表文"/>
            </w:pPr>
            <w:r>
              <w:t>净含量 200 g、烘焙日期、批次号（焙褐，等宽 8 pt）、保质期与储存说明、生产者信息</w:t>
            </w:r>
          </w:p>
        </w:tc>
      </w:tr>
    </w:tbl>
    <w:p>
      <w:pPr>
        <w:pStyle w:val="题注"/>
      </w:pPr>
      <w:r>
        <w:t>四边安全边距 6 mm。烘焙日期和批次号为手写或盖章区，其余内容印刷。</w:t>
      </w:r>
    </w:p>
    <w:p>
      <w:pPr>
        <w:pStyle w:val="Heading2"/>
      </w:pPr>
      <w:r>
        <w:t>使用禁忌</w:t>
      </w:r>
    </w:p>
    <w:p>
      <w:pPr>
        <w:pStyle w:val="要点段"/>
      </w:pPr>
      <w:r>
        <w:t>字标不拉伸、不加描边和投影，不放在照片等复杂底图上。</w:t>
      </w:r>
    </w:p>
    <w:p>
      <w:pPr>
        <w:pStyle w:val="要点段"/>
      </w:pPr>
      <w:r>
        <w:t>不引入第四种主色；季节限定款只允许更换焙褐为当季点缀色。</w:t>
      </w:r>
    </w:p>
    <w:p>
      <w:pPr>
        <w:pStyle w:val="要点段"/>
      </w:pPr>
      <w:r>
        <w:t>包装上不使用咖啡杯、咖啡豆等通用插图，产地信息本身就是视觉内容。</w:t>
      </w:r>
    </w:p>
    <w:p>
      <w:pPr>
        <w:pStyle w:val="要点段"/>
      </w:pPr>
      <w:r>
        <w:t>所有对外物料的风味描述与本手册豆单保持一致，更新时同步修改。</w:t>
      </w:r>
    </w:p>
    <w:sectPr>
      <w:footerReference w:type="default" r:id="rId4"/>
      <w:pgSz w:w="11906" w:h="16838"/>
      <w:pgMar w:top="1700" w:right="1700" w:bottom="1560" w:left="1900" w:header="850" w:footer="85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页脚"/>
    </w:pPr>
    <w:r>
      <w:t>MISTRIDGE COFFEE · 雾岭咖啡 品牌手册 2026</w:t>
    </w:r>
    <w:r>
      <w:t xml:space="preserve">	</w:t>
    </w:r>
    <w:fldSimple w:instr=" PAGE 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1">
    <w:multiLevelType w:val="multilevel"/>
    <w:name w:val="要点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600" w:hanging="360"/>
      </w:pPr>
    </w:lvl>
    <w:lvl w:ilvl="2">
      <w:start w:val="1"/>
      <w:numFmt w:val="bullet"/>
      <w:lvlText w:val="▪"/>
      <w:lvlJc w:val="left"/>
      <w:pPr>
        <w:ind w:left="8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420"/>
  <w:characterSpacingControl w:val="compressPunctuation"/>
  <w:compat>
    <w:compatSetting w:name="compatibilityMode" w:uri="http://schemas.microsoft.com/office/word" w:val="15"/>
    <w:compatSetting w:name="useWord2013TrackBottomHyphenation" w:uri="http://schemas.microsoft.com/office/word" w:val="0"/>
  </w:compat>
  <w:themeFontLang w:val="en-US" w:eastAsia="zh-CN"/>
</w:settings>
</file>

<file path=word/styles.xml><?xml version="1.0" encoding="utf-8"?>
<w:styles xmlns:w="http://schemas.openxmlformats.org/wordprocessingml/2006/main">
  <w:docDefaults>
    <w:rPrDefault>
      <w:rPr>
        <w:rFonts w:ascii="Georgia" w:eastAsia="宋体" w:hAnsi="Georgia" w:cs="Georgia"/>
        <w:color w:val="2B2B28"/>
        <w:kern w:val="2"/>
        <w:sz w:val="21"/>
        <w:szCs w:val="21"/>
        <w:lang w:val="en-US" w:eastAsia="zh-CN" w:bidi="ar-SA"/>
      </w:rPr>
    </w:rPrDefault>
    <w:pPrDefault>
      <w:pPr>
        <w:kinsoku/>
        <w:wordWrap/>
        <w:overflowPunct/>
        <w:autoSpaceDE/>
        <w:autoSpaceDN/>
        <w:adjustRightInd/>
        <w:snapToGrid w:val="0"/>
        <w:spacing w:before="0" w:after="0" w:line="400" w:lineRule="exact"/>
      </w:pPr>
    </w:pPrDefault>
  </w:docDefaults>
  <w:style w:type="paragraph" w:styleId="Normal">
    <w:name w:val="Normal"/>
    <w:qFormat/>
    <w:pPr>
      <w:widowControl/>
      <w:spacing w:line="400" w:lineRule="exact"/>
      <w:ind w:firstLine="420" w:firstLineChars="200"/>
      <w:jc w:val="both"/>
    </w:pPr>
    <w:rPr>
      <w:rFonts w:ascii="Georgia" w:eastAsia="宋体" w:hAnsi="Georgia" w:cs="Georgia"/>
      <w:color w:val="2B2B28"/>
      <w:sz w:val="21"/>
      <w:szCs w:val="21"/>
    </w:rPr>
  </w:style>
  <w:style w:type="paragraph" w:styleId="Title">
    <w:name w:val="Title"/>
    <w:basedOn w:val="Normal"/>
    <w:next w:val="Normal"/>
    <w:qFormat/>
    <w:pPr>
      <w:keepNext/>
      <w:spacing w:before="0" w:after="120" w:line="1000" w:lineRule="exact"/>
      <w:ind w:firstLine="0" w:firstLineChars="0"/>
      <w:jc w:val="left"/>
      <w:outlineLvl w:val="0"/>
    </w:pPr>
    <w:rPr>
      <w:rFonts w:ascii="Georgia" w:eastAsia="宋体" w:hAnsi="Georgia" w:cs="Georgia"/>
      <w:b/>
      <w:color w:val="2F3B34"/>
      <w:spacing w:val="60"/>
      <w:sz w:val="80"/>
      <w:szCs w:val="80"/>
    </w:rPr>
  </w:style>
  <w:style w:type="paragraph" w:styleId="Heading1">
    <w:name w:val="heading 1"/>
    <w:basedOn w:val="Normal"/>
    <w:next w:val="导语"/>
    <w:uiPriority w:val="9"/>
    <w:qFormat/>
    <w:pPr>
      <w:keepNext/>
      <w:pBdr>
        <w:bottom w:val="single" w:sz="4" w:space="8" w:color="2F3B34"/>
      </w:pBdr>
      <w:spacing w:before="0" w:after="280" w:line="680" w:lineRule="exact"/>
      <w:ind w:firstLine="0" w:firstLineChars="0"/>
      <w:jc w:val="left"/>
      <w:outlineLvl w:val="0"/>
    </w:pPr>
    <w:rPr>
      <w:rFonts w:ascii="Georgia" w:eastAsia="宋体" w:hAnsi="Georgia" w:cs="Georgia"/>
      <w:b/>
      <w:color w:val="2F3B34"/>
      <w:spacing w:val="20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400" w:after="120" w:line="440" w:lineRule="exact"/>
      <w:ind w:firstLine="0" w:firstLineChars="0"/>
      <w:jc w:val="left"/>
      <w:outlineLvl w:val="1"/>
    </w:pPr>
    <w:rPr>
      <w:rFonts w:ascii="Georgia" w:eastAsia="宋体" w:hAnsi="Georgia" w:cs="Georgia"/>
      <w:b/>
      <w:color w:val="2F3B34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240" w:after="80" w:line="320" w:lineRule="exact"/>
      <w:ind w:firstLine="0" w:firstLineChars="0"/>
      <w:jc w:val="left"/>
      <w:outlineLvl w:val="2"/>
    </w:pPr>
    <w:rPr>
      <w:rFonts w:ascii="Arial" w:eastAsia="微软雅黑" w:hAnsi="Arial" w:cs="Arial"/>
      <w:b/>
      <w:color w:val="8A5A3B"/>
      <w:spacing w:val="20"/>
      <w:sz w:val="18"/>
      <w:szCs w:val="18"/>
    </w:rPr>
  </w:style>
  <w:style w:type="paragraph" w:styleId="Quote">
    <w:name w:val="Quote"/>
    <w:basedOn w:val="Normal"/>
    <w:next w:val="Normal"/>
    <w:qFormat/>
    <w:pPr>
      <w:pBdr>
        <w:left w:val="single" w:sz="12" w:space="10" w:color="8A5A3B"/>
      </w:pBdr>
      <w:spacing w:before="280" w:after="280" w:line="560" w:lineRule="exact"/>
      <w:ind w:left="560" w:leftChars="200" w:firstLine="0" w:firstLineChars="0"/>
      <w:jc w:val="left"/>
    </w:pPr>
    <w:rPr>
      <w:rFonts w:ascii="Georgia" w:eastAsia="楷体" w:hAnsi="Georgia" w:cs="Georgia"/>
      <w:color w:val="2F3B34"/>
      <w:sz w:val="28"/>
      <w:szCs w:val="28"/>
    </w:rPr>
  </w:style>
  <w:style w:type="paragraph" w:styleId="Header">
    <w:name w:val="header"/>
    <w:basedOn w:val="Normal"/>
    <w:pPr>
      <w:ind w:firstLine="0" w:firstLineChars="0"/>
      <w:jc w:val="center"/>
    </w:pPr>
    <w:rPr>
      <w:sz w:val="18"/>
      <w:szCs w:val="18"/>
    </w:rPr>
  </w:style>
  <w:style w:type="paragraph" w:styleId="Footer">
    <w:name w:val="footer"/>
    <w:basedOn w:val="Normal"/>
    <w:pPr>
      <w:ind w:firstLine="0" w:firstLineChars="0"/>
      <w:jc w:val="center"/>
    </w:pPr>
    <w:rPr>
      <w:sz w:val="18"/>
      <w:szCs w:val="18"/>
    </w:rPr>
  </w:style>
  <w:style w:type="paragraph" w:styleId="眉题">
    <w:name w:val="眉题"/>
    <w:basedOn w:val="Normal"/>
    <w:next w:val="Heading1"/>
    <w:qFormat/>
    <w:pPr>
      <w:keepNext/>
      <w:spacing w:before="0" w:after="120" w:line="280" w:lineRule="exact"/>
      <w:ind w:firstLine="0" w:firstLineChars="0"/>
      <w:jc w:val="left"/>
    </w:pPr>
    <w:rPr>
      <w:rFonts w:ascii="Arial" w:eastAsia="微软雅黑" w:hAnsi="Arial" w:cs="Arial"/>
      <w:caps/>
      <w:color w:val="8A5A3B"/>
      <w:spacing w:val="40"/>
      <w:sz w:val="16"/>
      <w:szCs w:val="16"/>
    </w:rPr>
  </w:style>
  <w:style w:type="paragraph" w:styleId="导语">
    <w:name w:val="导语"/>
    <w:basedOn w:val="Normal"/>
    <w:next w:val="Normal"/>
    <w:qFormat/>
    <w:pPr>
      <w:spacing w:before="0" w:after="320" w:line="480" w:lineRule="exact"/>
      <w:ind w:firstLine="0" w:firstLineChars="0"/>
      <w:jc w:val="left"/>
    </w:pPr>
    <w:rPr>
      <w:rFonts w:ascii="Georgia" w:eastAsia="楷体" w:hAnsi="Georgia" w:cs="Georgia"/>
      <w:color w:val="4A524C"/>
      <w:sz w:val="24"/>
      <w:szCs w:val="24"/>
    </w:rPr>
  </w:style>
  <w:style w:type="paragraph" w:styleId="要点段">
    <w:name w:val="要点段"/>
    <w:basedOn w:val="Normal"/>
    <w:next w:val="要点段"/>
    <w:qFormat/>
    <w:pPr>
      <w:numPr>
        <w:ilvl w:val="0"/>
        <w:numId w:val="1"/>
      </w:numPr>
      <w:spacing w:after="40" w:line="400" w:lineRule="exact"/>
      <w:ind w:left="315" w:leftChars="150" w:hanging="315" w:hangingChars="150"/>
      <w:contextualSpacing/>
    </w:pPr>
  </w:style>
  <w:style w:type="paragraph" w:styleId="表文">
    <w:name w:val="表文"/>
    <w:basedOn w:val="Normal"/>
    <w:next w:val="表文"/>
    <w:pPr>
      <w:spacing w:before="60" w:after="60" w:line="300" w:lineRule="exact"/>
      <w:ind w:firstLine="0" w:firstLineChars="0"/>
      <w:jc w:val="left"/>
    </w:pPr>
    <w:rPr>
      <w:sz w:val="18"/>
      <w:szCs w:val="18"/>
    </w:rPr>
  </w:style>
  <w:style w:type="paragraph" w:styleId="表头">
    <w:name w:val="表头"/>
    <w:basedOn w:val="表文"/>
    <w:next w:val="表文"/>
    <w:pPr>
      <w:spacing w:before="80" w:after="80" w:line="280" w:lineRule="exact"/>
      <w:jc w:val="left"/>
    </w:pPr>
    <w:rPr>
      <w:rFonts w:ascii="Arial" w:eastAsia="微软雅黑" w:hAnsi="Arial" w:cs="Arial"/>
      <w:b/>
      <w:color w:val="FFFFFF"/>
      <w:spacing w:val="10"/>
      <w:sz w:val="16"/>
      <w:szCs w:val="16"/>
    </w:rPr>
  </w:style>
  <w:style w:type="paragraph" w:styleId="题注">
    <w:name w:val="题注"/>
    <w:basedOn w:val="Normal"/>
    <w:next w:val="Normal"/>
    <w:pPr>
      <w:spacing w:before="100" w:after="200" w:line="260" w:lineRule="exact"/>
      <w:ind w:firstLine="0" w:firstLineChars="0"/>
      <w:jc w:val="left"/>
    </w:pPr>
    <w:rPr>
      <w:rFonts w:ascii="Arial" w:eastAsia="微软雅黑" w:hAnsi="Arial" w:cs="Arial"/>
      <w:color w:val="7A7A72"/>
      <w:sz w:val="15"/>
      <w:szCs w:val="15"/>
    </w:rPr>
  </w:style>
  <w:style w:type="paragraph" w:styleId="页脚">
    <w:name w:val="页脚文字"/>
    <w:basedOn w:val="Normal"/>
    <w:pPr>
      <w:tabs>
        <w:tab w:val="right" w:pos="8306"/>
      </w:tabs>
      <w:spacing w:line="240" w:lineRule="exact"/>
      <w:ind w:firstLine="0" w:firstLineChars="0"/>
      <w:jc w:val="left"/>
    </w:pPr>
    <w:rPr>
      <w:rFonts w:ascii="Arial" w:eastAsia="微软雅黑" w:hAnsi="Arial" w:cs="Arial"/>
      <w:color w:val="7A7A72"/>
      <w:spacing w:val="20"/>
      <w:sz w:val="15"/>
      <w:szCs w:val="15"/>
    </w:rPr>
  </w:style>
  <w:style w:type="paragraph" w:styleId="规格">
    <w:name w:val="规格"/>
    <w:basedOn w:val="Normal"/>
    <w:next w:val="规格"/>
    <w:pPr>
      <w:keepNext/>
      <w:pBdr>
        <w:bottom w:val="single" w:sz="2" w:space="3" w:color="CFCBC2"/>
      </w:pBdr>
      <w:tabs>
        <w:tab w:val="left" w:pos="1700"/>
      </w:tabs>
      <w:spacing w:before="80" w:after="40" w:line="320" w:lineRule="exact"/>
      <w:ind w:firstLine="0" w:firstLineChars="0"/>
      <w:jc w:val="left"/>
    </w:pPr>
    <w:rPr>
      <w:sz w:val="19"/>
      <w:szCs w:val="19"/>
    </w:rPr>
  </w:style>
  <w:style w:type="paragraph" w:styleId="目录项">
    <w:name w:val="目录项"/>
    <w:basedOn w:val="Normal"/>
    <w:next w:val="目录项"/>
    <w:pPr>
      <w:pBdr>
        <w:bottom w:val="single" w:sz="2" w:space="3" w:color="CFCBC2"/>
      </w:pBdr>
      <w:tabs>
        <w:tab w:val="left" w:pos="900"/>
        <w:tab w:val="right" w:pos="8306"/>
      </w:tabs>
      <w:spacing w:before="160" w:after="80" w:line="400" w:lineRule="exact"/>
      <w:ind w:firstLine="0" w:firstLineChars="0"/>
      <w:jc w:val="left"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footer" Target="footer1.xml"/></Relationships>
</file>