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B216" w14:textId="77777777" w:rsidR="00AE12E1" w:rsidRDefault="00B80973">
      <w:pPr>
        <w:rPr>
          <w:b/>
          <w:bCs/>
        </w:rPr>
      </w:pPr>
      <w:r>
        <w:rPr>
          <w:rFonts w:hint="eastAsia"/>
          <w:b/>
          <w:bCs/>
        </w:rPr>
        <w:t>财务分析</w:t>
      </w:r>
    </w:p>
    <w:p w14:paraId="4F56F346" w14:textId="77777777" w:rsidR="00AE12E1" w:rsidRDefault="00B80973">
      <w:pPr>
        <w:rPr>
          <w:b/>
          <w:bCs/>
        </w:rPr>
      </w:pPr>
      <w:r>
        <w:rPr>
          <w:rFonts w:hint="eastAsia"/>
          <w:b/>
          <w:bCs/>
        </w:rPr>
        <w:t>1</w:t>
      </w:r>
      <w:r>
        <w:rPr>
          <w:b/>
          <w:bCs/>
        </w:rPr>
        <w:t xml:space="preserve"> </w:t>
      </w:r>
      <w:r>
        <w:rPr>
          <w:rFonts w:hint="eastAsia"/>
          <w:b/>
          <w:bCs/>
        </w:rPr>
        <w:t>财务预算分析</w:t>
      </w:r>
    </w:p>
    <w:p w14:paraId="55BF92E1" w14:textId="77777777" w:rsidR="00AE12E1" w:rsidRDefault="00B80973">
      <w:pPr>
        <w:rPr>
          <w:b/>
          <w:bCs/>
        </w:rPr>
      </w:pPr>
      <w:r>
        <w:rPr>
          <w:rFonts w:hint="eastAsia"/>
          <w:b/>
          <w:bCs/>
        </w:rPr>
        <w:t>1.1</w:t>
      </w:r>
      <w:r>
        <w:rPr>
          <w:b/>
          <w:bCs/>
        </w:rPr>
        <w:t xml:space="preserve"> </w:t>
      </w:r>
      <w:r>
        <w:rPr>
          <w:rFonts w:hint="eastAsia"/>
          <w:b/>
          <w:bCs/>
        </w:rPr>
        <w:t>财务假设</w:t>
      </w:r>
    </w:p>
    <w:p w14:paraId="3172A266" w14:textId="77777777" w:rsidR="00AE12E1" w:rsidRDefault="00B80973">
      <w:pPr>
        <w:ind w:firstLineChars="200" w:firstLine="420"/>
      </w:pPr>
      <w:r>
        <w:rPr>
          <w:rFonts w:hint="eastAsia"/>
        </w:rPr>
        <w:t>本公司进行财务分析所依据的假设如下：</w:t>
      </w:r>
    </w:p>
    <w:p w14:paraId="15CCE2AC" w14:textId="77777777" w:rsidR="00AE12E1" w:rsidRDefault="00B80973">
      <w:pPr>
        <w:ind w:firstLineChars="200" w:firstLine="420"/>
      </w:pPr>
      <w:r>
        <w:rPr>
          <w:rFonts w:hint="eastAsia"/>
        </w:rPr>
        <w:t>①公司为持续经营状态，即在编制财务报表时，假定其经营活动在可预见的将来会继续下去，不拟也不必终止经营或破产清算，可以在正常的经营过程中变现资产、清偿债务；</w:t>
      </w:r>
    </w:p>
    <w:p w14:paraId="70209C20" w14:textId="77777777" w:rsidR="00AE12E1" w:rsidRDefault="00B80973">
      <w:pPr>
        <w:ind w:firstLineChars="200" w:firstLine="420"/>
      </w:pPr>
      <w:r>
        <w:rPr>
          <w:rFonts w:hint="eastAsia"/>
        </w:rPr>
        <w:t>②实行现金收付制，即凡是在本期内实际收到的收入，不论该项收入是否应归属本期，都作为本期的收入来处理；</w:t>
      </w:r>
    </w:p>
    <w:p w14:paraId="2E1267F2" w14:textId="77777777" w:rsidR="00AE12E1" w:rsidRDefault="00B80973">
      <w:pPr>
        <w:ind w:firstLineChars="200" w:firstLine="420"/>
      </w:pPr>
      <w:r>
        <w:rPr>
          <w:rFonts w:hint="eastAsia"/>
        </w:rPr>
        <w:t>③财务报表以年度为单位进行编制</w:t>
      </w:r>
      <w:r>
        <w:t>；</w:t>
      </w:r>
    </w:p>
    <w:p w14:paraId="132A6D2F" w14:textId="77777777" w:rsidR="00AE12E1" w:rsidRDefault="00B80973">
      <w:pPr>
        <w:ind w:firstLineChars="200" w:firstLine="420"/>
      </w:pPr>
      <w:r>
        <w:rPr>
          <w:rFonts w:hint="eastAsia"/>
        </w:rPr>
        <w:t>④</w:t>
      </w:r>
      <w:r>
        <w:t>会计核算以人民币为记账本位币，单位确定为元</w:t>
      </w:r>
      <w:r>
        <w:rPr>
          <w:rFonts w:hint="eastAsia"/>
        </w:rPr>
        <w:t>；</w:t>
      </w:r>
    </w:p>
    <w:p w14:paraId="5DAB5560" w14:textId="77777777" w:rsidR="00AE12E1" w:rsidRDefault="00B80973">
      <w:pPr>
        <w:ind w:firstLineChars="200" w:firstLine="420"/>
      </w:pPr>
      <w:r>
        <w:rPr>
          <w:rFonts w:hint="eastAsia"/>
        </w:rPr>
        <w:t>⑤由于本公司主营业务与元宇宙数字平台相关，载体为各类电子设备，而根据我国现行《中华人民共和国企业所得税法实施条例》中对企业固定资产折旧的明文规定，企业拥有的电子设备最低折旧年限为</w:t>
      </w:r>
      <w:r>
        <w:t>3</w:t>
      </w:r>
      <w:r>
        <w:t>年。</w:t>
      </w:r>
      <w:r>
        <w:rPr>
          <w:rFonts w:hint="eastAsia"/>
        </w:rPr>
        <w:t>因此，假设本项目所有长期资产折旧年限为</w:t>
      </w:r>
      <w:r>
        <w:rPr>
          <w:rFonts w:hint="eastAsia"/>
        </w:rPr>
        <w:t>3</w:t>
      </w:r>
      <w:r>
        <w:rPr>
          <w:rFonts w:hint="eastAsia"/>
        </w:rPr>
        <w:t>年。</w:t>
      </w:r>
    </w:p>
    <w:p w14:paraId="10F731A6" w14:textId="77777777" w:rsidR="00AE12E1" w:rsidRDefault="00AE12E1">
      <w:pPr>
        <w:ind w:firstLineChars="200" w:firstLine="420"/>
      </w:pPr>
    </w:p>
    <w:p w14:paraId="763864C0" w14:textId="77777777" w:rsidR="00AE12E1" w:rsidRDefault="00B80973">
      <w:pPr>
        <w:rPr>
          <w:b/>
          <w:bCs/>
        </w:rPr>
      </w:pPr>
      <w:r>
        <w:rPr>
          <w:rFonts w:hint="eastAsia"/>
          <w:b/>
          <w:bCs/>
        </w:rPr>
        <w:t>1.2</w:t>
      </w:r>
      <w:r>
        <w:rPr>
          <w:b/>
          <w:bCs/>
        </w:rPr>
        <w:t xml:space="preserve"> </w:t>
      </w:r>
      <w:r>
        <w:rPr>
          <w:rFonts w:hint="eastAsia"/>
          <w:b/>
          <w:bCs/>
        </w:rPr>
        <w:t>财务预算依据</w:t>
      </w:r>
    </w:p>
    <w:p w14:paraId="6C7E0379" w14:textId="77777777" w:rsidR="00AE12E1" w:rsidRDefault="00B80973">
      <w:pPr>
        <w:ind w:firstLineChars="200" w:firstLine="420"/>
      </w:pPr>
      <w:r>
        <w:rPr>
          <w:rFonts w:hint="eastAsia"/>
        </w:rPr>
        <w:t>本公司落地的背景为上海松江印象城的实体店铺，因此，进行财务分析的数据来源具有真实性与可靠性。财务人员依据公司在经营过程中产生的原始数据，对未来财务状况进行分析。其中，营业收入的估算以对公账户余额为依据，营业成本的估算以报销单为依据。本公司报销单、营业收入及对</w:t>
      </w:r>
      <w:r>
        <w:rPr>
          <w:rFonts w:hint="eastAsia"/>
        </w:rPr>
        <w:t>公账户详细信息展示如下：</w:t>
      </w:r>
    </w:p>
    <w:p w14:paraId="39581E30" w14:textId="77777777" w:rsidR="00AE12E1" w:rsidRDefault="00B80973">
      <w:pPr>
        <w:ind w:firstLineChars="200" w:firstLine="420"/>
      </w:pPr>
      <w:r>
        <w:rPr>
          <w:noProof/>
        </w:rPr>
        <w:drawing>
          <wp:inline distT="0" distB="0" distL="0" distR="0" wp14:anchorId="2D7F787E" wp14:editId="0E3E4FA5">
            <wp:extent cx="5274310" cy="3224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3224530"/>
                    </a:xfrm>
                    <a:prstGeom prst="rect">
                      <a:avLst/>
                    </a:prstGeom>
                  </pic:spPr>
                </pic:pic>
              </a:graphicData>
            </a:graphic>
          </wp:inline>
        </w:drawing>
      </w:r>
    </w:p>
    <w:p w14:paraId="048ADA34" w14:textId="77777777" w:rsidR="00AE12E1" w:rsidRDefault="00B80973">
      <w:pPr>
        <w:ind w:firstLineChars="200" w:firstLine="360"/>
        <w:jc w:val="center"/>
        <w:rPr>
          <w:sz w:val="18"/>
          <w:szCs w:val="18"/>
        </w:rPr>
      </w:pPr>
      <w:r>
        <w:rPr>
          <w:rFonts w:hint="eastAsia"/>
          <w:sz w:val="18"/>
          <w:szCs w:val="18"/>
        </w:rPr>
        <w:t>图</w:t>
      </w:r>
      <w:r>
        <w:rPr>
          <w:rFonts w:hint="eastAsia"/>
          <w:sz w:val="18"/>
          <w:szCs w:val="18"/>
        </w:rPr>
        <w:t>1</w:t>
      </w:r>
      <w:r>
        <w:rPr>
          <w:sz w:val="18"/>
          <w:szCs w:val="18"/>
        </w:rPr>
        <w:t xml:space="preserve"> </w:t>
      </w:r>
      <w:r>
        <w:rPr>
          <w:rFonts w:hint="eastAsia"/>
          <w:sz w:val="18"/>
          <w:szCs w:val="18"/>
        </w:rPr>
        <w:t>报销</w:t>
      </w:r>
      <w:proofErr w:type="gramStart"/>
      <w:r>
        <w:rPr>
          <w:rFonts w:hint="eastAsia"/>
          <w:sz w:val="18"/>
          <w:szCs w:val="18"/>
        </w:rPr>
        <w:t>单部分</w:t>
      </w:r>
      <w:proofErr w:type="gramEnd"/>
      <w:r>
        <w:rPr>
          <w:rFonts w:hint="eastAsia"/>
          <w:sz w:val="18"/>
          <w:szCs w:val="18"/>
        </w:rPr>
        <w:t>相关数据</w:t>
      </w:r>
    </w:p>
    <w:p w14:paraId="5DE1AA4C" w14:textId="77777777" w:rsidR="00AE12E1" w:rsidRDefault="00AE12E1">
      <w:pPr>
        <w:ind w:firstLineChars="200" w:firstLine="420"/>
      </w:pPr>
    </w:p>
    <w:p w14:paraId="354F024C" w14:textId="77777777" w:rsidR="00AE12E1" w:rsidRDefault="00AE12E1">
      <w:pPr>
        <w:ind w:firstLineChars="200" w:firstLine="420"/>
      </w:pPr>
    </w:p>
    <w:p w14:paraId="3317EB89" w14:textId="77777777" w:rsidR="00AE12E1" w:rsidRDefault="00AE12E1">
      <w:pPr>
        <w:ind w:firstLineChars="200" w:firstLine="420"/>
      </w:pPr>
    </w:p>
    <w:p w14:paraId="37B3BD03" w14:textId="77777777" w:rsidR="00AE12E1" w:rsidRDefault="00AE12E1">
      <w:pPr>
        <w:ind w:firstLineChars="200" w:firstLine="420"/>
      </w:pPr>
    </w:p>
    <w:p w14:paraId="0566F88E" w14:textId="77777777" w:rsidR="00AE12E1" w:rsidRDefault="00AE12E1">
      <w:pPr>
        <w:ind w:firstLineChars="200" w:firstLine="420"/>
      </w:pPr>
    </w:p>
    <w:p w14:paraId="5A5A189B" w14:textId="77777777" w:rsidR="00AE12E1" w:rsidRDefault="00AE12E1">
      <w:pPr>
        <w:ind w:firstLineChars="200" w:firstLine="420"/>
      </w:pPr>
    </w:p>
    <w:p w14:paraId="4D6ED4EA" w14:textId="77777777" w:rsidR="00AE12E1" w:rsidRDefault="00AE12E1">
      <w:pPr>
        <w:ind w:firstLineChars="200" w:firstLine="420"/>
      </w:pPr>
    </w:p>
    <w:p w14:paraId="2FEAF059" w14:textId="77777777" w:rsidR="00AE12E1" w:rsidRDefault="00AE12E1">
      <w:pPr>
        <w:ind w:firstLineChars="200" w:firstLine="420"/>
      </w:pPr>
    </w:p>
    <w:p w14:paraId="631349EA" w14:textId="77777777" w:rsidR="00AE12E1" w:rsidRDefault="00AE12E1">
      <w:pPr>
        <w:ind w:firstLineChars="200" w:firstLine="420"/>
      </w:pPr>
    </w:p>
    <w:p w14:paraId="76079010" w14:textId="77777777" w:rsidR="00AE12E1" w:rsidRDefault="00AE12E1">
      <w:pPr>
        <w:ind w:firstLineChars="200" w:firstLine="420"/>
      </w:pPr>
    </w:p>
    <w:p w14:paraId="1B2EB1E5" w14:textId="77777777" w:rsidR="00AE12E1" w:rsidRDefault="00AE12E1">
      <w:pPr>
        <w:ind w:firstLineChars="200" w:firstLine="420"/>
      </w:pPr>
    </w:p>
    <w:p w14:paraId="696B703C" w14:textId="77777777" w:rsidR="00AE12E1" w:rsidRDefault="00B80973">
      <w:r>
        <w:rPr>
          <w:noProof/>
        </w:rPr>
        <w:drawing>
          <wp:anchor distT="0" distB="0" distL="114300" distR="114300" simplePos="0" relativeHeight="251660288" behindDoc="0" locked="0" layoutInCell="1" allowOverlap="1" wp14:anchorId="07822691" wp14:editId="270E2FF1">
            <wp:simplePos x="0" y="0"/>
            <wp:positionH relativeFrom="margin">
              <wp:posOffset>3255010</wp:posOffset>
            </wp:positionH>
            <wp:positionV relativeFrom="paragraph">
              <wp:posOffset>103505</wp:posOffset>
            </wp:positionV>
            <wp:extent cx="2080260" cy="4477385"/>
            <wp:effectExtent l="0" t="0" r="0" b="0"/>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0421" cy="4477690"/>
                    </a:xfrm>
                    <a:prstGeom prst="rect">
                      <a:avLst/>
                    </a:prstGeom>
                  </pic:spPr>
                </pic:pic>
              </a:graphicData>
            </a:graphic>
          </wp:anchor>
        </w:drawing>
      </w:r>
      <w:r>
        <w:rPr>
          <w:noProof/>
        </w:rPr>
        <w:drawing>
          <wp:anchor distT="0" distB="0" distL="114300" distR="114300" simplePos="0" relativeHeight="251659264" behindDoc="0" locked="0" layoutInCell="1" allowOverlap="1" wp14:anchorId="6651EAEB" wp14:editId="6FAE2650">
            <wp:simplePos x="0" y="0"/>
            <wp:positionH relativeFrom="margin">
              <wp:posOffset>196215</wp:posOffset>
            </wp:positionH>
            <wp:positionV relativeFrom="paragraph">
              <wp:posOffset>1270</wp:posOffset>
            </wp:positionV>
            <wp:extent cx="2124075" cy="4572000"/>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4004" cy="4572000"/>
                    </a:xfrm>
                    <a:prstGeom prst="rect">
                      <a:avLst/>
                    </a:prstGeom>
                  </pic:spPr>
                </pic:pic>
              </a:graphicData>
            </a:graphic>
          </wp:anchor>
        </w:drawing>
      </w:r>
    </w:p>
    <w:p w14:paraId="59BDAA07" w14:textId="77777777" w:rsidR="00AE12E1" w:rsidRDefault="00AE12E1">
      <w:pPr>
        <w:ind w:firstLineChars="200" w:firstLine="360"/>
        <w:rPr>
          <w:sz w:val="18"/>
          <w:szCs w:val="18"/>
        </w:rPr>
      </w:pPr>
    </w:p>
    <w:p w14:paraId="5C30AE86" w14:textId="77777777" w:rsidR="00AE12E1" w:rsidRDefault="00AE12E1">
      <w:pPr>
        <w:ind w:firstLineChars="200" w:firstLine="420"/>
      </w:pPr>
    </w:p>
    <w:p w14:paraId="52A43EAB" w14:textId="77777777" w:rsidR="00AE12E1" w:rsidRDefault="00AE12E1">
      <w:pPr>
        <w:ind w:firstLineChars="200" w:firstLine="420"/>
      </w:pPr>
    </w:p>
    <w:p w14:paraId="020506DC" w14:textId="77777777" w:rsidR="00AE12E1" w:rsidRDefault="00AE12E1">
      <w:pPr>
        <w:ind w:firstLineChars="200" w:firstLine="420"/>
      </w:pPr>
    </w:p>
    <w:p w14:paraId="15E4C625" w14:textId="77777777" w:rsidR="00AE12E1" w:rsidRDefault="00AE12E1">
      <w:pPr>
        <w:ind w:firstLineChars="200" w:firstLine="420"/>
      </w:pPr>
    </w:p>
    <w:p w14:paraId="049230F8" w14:textId="77777777" w:rsidR="00AE12E1" w:rsidRDefault="00AE12E1">
      <w:pPr>
        <w:ind w:firstLineChars="200" w:firstLine="420"/>
      </w:pPr>
    </w:p>
    <w:p w14:paraId="776D550F" w14:textId="77777777" w:rsidR="00AE12E1" w:rsidRDefault="00AE12E1">
      <w:pPr>
        <w:ind w:firstLineChars="200" w:firstLine="420"/>
      </w:pPr>
    </w:p>
    <w:p w14:paraId="38651EC7" w14:textId="77777777" w:rsidR="00AE12E1" w:rsidRDefault="00AE12E1">
      <w:pPr>
        <w:ind w:firstLineChars="200" w:firstLine="420"/>
      </w:pPr>
    </w:p>
    <w:p w14:paraId="1A5A9BBA" w14:textId="77777777" w:rsidR="00AE12E1" w:rsidRDefault="00AE12E1">
      <w:pPr>
        <w:ind w:firstLineChars="200" w:firstLine="420"/>
      </w:pPr>
    </w:p>
    <w:p w14:paraId="2114E379" w14:textId="77777777" w:rsidR="00AE12E1" w:rsidRDefault="00AE12E1">
      <w:pPr>
        <w:ind w:firstLineChars="200" w:firstLine="420"/>
      </w:pPr>
    </w:p>
    <w:p w14:paraId="39675593" w14:textId="77777777" w:rsidR="00AE12E1" w:rsidRDefault="00AE12E1">
      <w:pPr>
        <w:ind w:firstLineChars="200" w:firstLine="420"/>
      </w:pPr>
    </w:p>
    <w:p w14:paraId="4C4AC038" w14:textId="77777777" w:rsidR="00AE12E1" w:rsidRDefault="00AE12E1">
      <w:pPr>
        <w:ind w:firstLineChars="200" w:firstLine="420"/>
      </w:pPr>
    </w:p>
    <w:p w14:paraId="6ABCF9AF" w14:textId="77777777" w:rsidR="00AE12E1" w:rsidRDefault="00AE12E1">
      <w:pPr>
        <w:ind w:firstLineChars="200" w:firstLine="420"/>
      </w:pPr>
    </w:p>
    <w:p w14:paraId="6EC3AA81" w14:textId="77777777" w:rsidR="00AE12E1" w:rsidRDefault="00AE12E1">
      <w:pPr>
        <w:ind w:firstLineChars="200" w:firstLine="420"/>
      </w:pPr>
    </w:p>
    <w:p w14:paraId="63710156" w14:textId="77777777" w:rsidR="00AE12E1" w:rsidRDefault="00AE12E1">
      <w:pPr>
        <w:ind w:firstLineChars="200" w:firstLine="420"/>
      </w:pPr>
    </w:p>
    <w:p w14:paraId="014D1E6E" w14:textId="77777777" w:rsidR="00AE12E1" w:rsidRDefault="00AE12E1">
      <w:pPr>
        <w:ind w:firstLineChars="200" w:firstLine="420"/>
      </w:pPr>
    </w:p>
    <w:p w14:paraId="069521CE" w14:textId="77777777" w:rsidR="00AE12E1" w:rsidRDefault="00AE12E1">
      <w:pPr>
        <w:ind w:firstLineChars="200" w:firstLine="420"/>
      </w:pPr>
    </w:p>
    <w:p w14:paraId="223E8606" w14:textId="77777777" w:rsidR="00AE12E1" w:rsidRDefault="00AE12E1">
      <w:pPr>
        <w:ind w:firstLineChars="200" w:firstLine="420"/>
      </w:pPr>
    </w:p>
    <w:p w14:paraId="53A85D44" w14:textId="77777777" w:rsidR="00AE12E1" w:rsidRDefault="00AE12E1">
      <w:pPr>
        <w:ind w:firstLineChars="200" w:firstLine="420"/>
      </w:pPr>
    </w:p>
    <w:p w14:paraId="7D0EE662" w14:textId="77777777" w:rsidR="00AE12E1" w:rsidRDefault="00AE12E1">
      <w:pPr>
        <w:ind w:firstLineChars="200" w:firstLine="420"/>
      </w:pPr>
    </w:p>
    <w:p w14:paraId="3FA93CAE" w14:textId="77777777" w:rsidR="00AE12E1" w:rsidRDefault="00AE12E1">
      <w:pPr>
        <w:ind w:firstLineChars="200" w:firstLine="420"/>
      </w:pPr>
    </w:p>
    <w:p w14:paraId="5A89BB72" w14:textId="77777777" w:rsidR="00AE12E1" w:rsidRDefault="00AE12E1">
      <w:pPr>
        <w:ind w:firstLineChars="200" w:firstLine="360"/>
        <w:rPr>
          <w:sz w:val="18"/>
          <w:szCs w:val="18"/>
        </w:rPr>
      </w:pPr>
    </w:p>
    <w:p w14:paraId="70E8F541" w14:textId="77777777" w:rsidR="00AE12E1" w:rsidRDefault="00AE12E1">
      <w:pPr>
        <w:ind w:firstLineChars="200" w:firstLine="420"/>
      </w:pPr>
    </w:p>
    <w:p w14:paraId="3415AD95" w14:textId="77777777" w:rsidR="00AE12E1" w:rsidRDefault="00B80973">
      <w:pPr>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营业收入部分相关数据</w:t>
      </w:r>
    </w:p>
    <w:tbl>
      <w:tblPr>
        <w:tblW w:w="5000" w:type="pct"/>
        <w:tblLook w:val="04A0" w:firstRow="1" w:lastRow="0" w:firstColumn="1" w:lastColumn="0" w:noHBand="0" w:noVBand="1"/>
      </w:tblPr>
      <w:tblGrid>
        <w:gridCol w:w="1286"/>
        <w:gridCol w:w="7010"/>
      </w:tblGrid>
      <w:tr w:rsidR="00AE12E1" w14:paraId="61A698EF" w14:textId="77777777">
        <w:trPr>
          <w:trHeight w:val="278"/>
        </w:trPr>
        <w:tc>
          <w:tcPr>
            <w:tcW w:w="7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B1076B"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公司名称</w:t>
            </w:r>
          </w:p>
        </w:tc>
        <w:tc>
          <w:tcPr>
            <w:tcW w:w="4225" w:type="pct"/>
            <w:tcBorders>
              <w:top w:val="single" w:sz="4" w:space="0" w:color="auto"/>
              <w:left w:val="nil"/>
              <w:bottom w:val="single" w:sz="4" w:space="0" w:color="auto"/>
              <w:right w:val="single" w:sz="4" w:space="0" w:color="auto"/>
            </w:tcBorders>
            <w:shd w:val="clear" w:color="auto" w:fill="auto"/>
            <w:noWrap/>
            <w:vAlign w:val="bottom"/>
          </w:tcPr>
          <w:p w14:paraId="287668FE"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上海</w:t>
            </w:r>
            <w:proofErr w:type="gramStart"/>
            <w:r>
              <w:rPr>
                <w:rFonts w:ascii="等线" w:eastAsia="等线" w:hAnsi="等线" w:cs="宋体" w:hint="eastAsia"/>
                <w:color w:val="000000"/>
                <w:kern w:val="0"/>
                <w:sz w:val="22"/>
              </w:rPr>
              <w:t>暄旖攸</w:t>
            </w:r>
            <w:proofErr w:type="gramEnd"/>
            <w:r>
              <w:rPr>
                <w:rFonts w:ascii="等线" w:eastAsia="等线" w:hAnsi="等线" w:cs="宋体" w:hint="eastAsia"/>
                <w:color w:val="000000"/>
                <w:kern w:val="0"/>
                <w:sz w:val="22"/>
              </w:rPr>
              <w:t>商贸有限公司</w:t>
            </w:r>
          </w:p>
        </w:tc>
      </w:tr>
      <w:tr w:rsidR="00AE12E1" w14:paraId="4F531A09" w14:textId="77777777">
        <w:trPr>
          <w:trHeight w:val="278"/>
        </w:trPr>
        <w:tc>
          <w:tcPr>
            <w:tcW w:w="775" w:type="pct"/>
            <w:tcBorders>
              <w:top w:val="nil"/>
              <w:left w:val="single" w:sz="4" w:space="0" w:color="auto"/>
              <w:bottom w:val="single" w:sz="4" w:space="0" w:color="auto"/>
              <w:right w:val="single" w:sz="4" w:space="0" w:color="auto"/>
            </w:tcBorders>
            <w:shd w:val="clear" w:color="auto" w:fill="auto"/>
            <w:noWrap/>
            <w:vAlign w:val="center"/>
          </w:tcPr>
          <w:p w14:paraId="4F45FFA9"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信用代码</w:t>
            </w:r>
          </w:p>
        </w:tc>
        <w:tc>
          <w:tcPr>
            <w:tcW w:w="4225" w:type="pct"/>
            <w:tcBorders>
              <w:top w:val="nil"/>
              <w:left w:val="nil"/>
              <w:bottom w:val="single" w:sz="4" w:space="0" w:color="auto"/>
              <w:right w:val="single" w:sz="4" w:space="0" w:color="auto"/>
            </w:tcBorders>
            <w:shd w:val="clear" w:color="auto" w:fill="auto"/>
            <w:noWrap/>
            <w:vAlign w:val="bottom"/>
          </w:tcPr>
          <w:p w14:paraId="4B6DD361"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91310117MA7E2TQE2G</w:t>
            </w:r>
          </w:p>
        </w:tc>
      </w:tr>
      <w:tr w:rsidR="00AE12E1" w14:paraId="3FA6C92E" w14:textId="77777777">
        <w:trPr>
          <w:trHeight w:val="278"/>
        </w:trPr>
        <w:tc>
          <w:tcPr>
            <w:tcW w:w="775" w:type="pct"/>
            <w:tcBorders>
              <w:top w:val="nil"/>
              <w:left w:val="single" w:sz="4" w:space="0" w:color="auto"/>
              <w:bottom w:val="single" w:sz="4" w:space="0" w:color="auto"/>
              <w:right w:val="single" w:sz="4" w:space="0" w:color="auto"/>
            </w:tcBorders>
            <w:shd w:val="clear" w:color="auto" w:fill="auto"/>
            <w:noWrap/>
            <w:vAlign w:val="center"/>
          </w:tcPr>
          <w:p w14:paraId="421AB764"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开户银行</w:t>
            </w:r>
          </w:p>
        </w:tc>
        <w:tc>
          <w:tcPr>
            <w:tcW w:w="4225" w:type="pct"/>
            <w:tcBorders>
              <w:top w:val="nil"/>
              <w:left w:val="nil"/>
              <w:bottom w:val="single" w:sz="4" w:space="0" w:color="auto"/>
              <w:right w:val="single" w:sz="4" w:space="0" w:color="auto"/>
            </w:tcBorders>
            <w:shd w:val="clear" w:color="auto" w:fill="auto"/>
            <w:noWrap/>
            <w:vAlign w:val="bottom"/>
          </w:tcPr>
          <w:p w14:paraId="15FA554B"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中国邮政储蓄银行股份有限公司上海松江区松江新城支行</w:t>
            </w:r>
          </w:p>
        </w:tc>
      </w:tr>
      <w:tr w:rsidR="00AE12E1" w14:paraId="77C7252B" w14:textId="77777777">
        <w:trPr>
          <w:trHeight w:val="278"/>
        </w:trPr>
        <w:tc>
          <w:tcPr>
            <w:tcW w:w="775" w:type="pct"/>
            <w:tcBorders>
              <w:top w:val="nil"/>
              <w:left w:val="single" w:sz="4" w:space="0" w:color="auto"/>
              <w:bottom w:val="single" w:sz="4" w:space="0" w:color="auto"/>
              <w:right w:val="single" w:sz="4" w:space="0" w:color="auto"/>
            </w:tcBorders>
            <w:shd w:val="clear" w:color="auto" w:fill="auto"/>
            <w:noWrap/>
            <w:vAlign w:val="center"/>
          </w:tcPr>
          <w:p w14:paraId="7C80C69E"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账号</w:t>
            </w:r>
          </w:p>
        </w:tc>
        <w:tc>
          <w:tcPr>
            <w:tcW w:w="4225" w:type="pct"/>
            <w:tcBorders>
              <w:top w:val="nil"/>
              <w:left w:val="nil"/>
              <w:bottom w:val="single" w:sz="4" w:space="0" w:color="auto"/>
              <w:right w:val="single" w:sz="4" w:space="0" w:color="auto"/>
            </w:tcBorders>
            <w:shd w:val="clear" w:color="auto" w:fill="auto"/>
            <w:noWrap/>
            <w:vAlign w:val="bottom"/>
          </w:tcPr>
          <w:p w14:paraId="7350A497"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931004010000977000</w:t>
            </w:r>
          </w:p>
        </w:tc>
      </w:tr>
      <w:tr w:rsidR="00AE12E1" w14:paraId="70F8DBAA" w14:textId="77777777">
        <w:trPr>
          <w:trHeight w:val="278"/>
        </w:trPr>
        <w:tc>
          <w:tcPr>
            <w:tcW w:w="775" w:type="pct"/>
            <w:tcBorders>
              <w:top w:val="nil"/>
              <w:left w:val="single" w:sz="4" w:space="0" w:color="auto"/>
              <w:bottom w:val="single" w:sz="4" w:space="0" w:color="auto"/>
              <w:right w:val="single" w:sz="4" w:space="0" w:color="auto"/>
            </w:tcBorders>
            <w:shd w:val="clear" w:color="auto" w:fill="auto"/>
            <w:noWrap/>
            <w:vAlign w:val="center"/>
          </w:tcPr>
          <w:p w14:paraId="2DE9ED9D"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注册地址</w:t>
            </w:r>
          </w:p>
        </w:tc>
        <w:tc>
          <w:tcPr>
            <w:tcW w:w="4225" w:type="pct"/>
            <w:tcBorders>
              <w:top w:val="nil"/>
              <w:left w:val="nil"/>
              <w:bottom w:val="single" w:sz="4" w:space="0" w:color="auto"/>
              <w:right w:val="single" w:sz="4" w:space="0" w:color="auto"/>
            </w:tcBorders>
            <w:shd w:val="clear" w:color="auto" w:fill="auto"/>
            <w:noWrap/>
            <w:vAlign w:val="bottom"/>
          </w:tcPr>
          <w:p w14:paraId="024D77C8"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上海市松江</w:t>
            </w:r>
            <w:proofErr w:type="gramStart"/>
            <w:r>
              <w:rPr>
                <w:rFonts w:ascii="等线" w:eastAsia="等线" w:hAnsi="等线" w:cs="宋体" w:hint="eastAsia"/>
                <w:color w:val="000000"/>
                <w:kern w:val="0"/>
                <w:sz w:val="22"/>
              </w:rPr>
              <w:t>区沪亭北路</w:t>
            </w:r>
            <w:proofErr w:type="gramEnd"/>
            <w:r>
              <w:rPr>
                <w:rFonts w:ascii="等线" w:eastAsia="等线" w:hAnsi="等线" w:cs="宋体" w:hint="eastAsia"/>
                <w:color w:val="000000"/>
                <w:kern w:val="0"/>
                <w:sz w:val="22"/>
              </w:rPr>
              <w:t>218</w:t>
            </w:r>
            <w:r>
              <w:rPr>
                <w:rFonts w:ascii="等线" w:eastAsia="等线" w:hAnsi="等线" w:cs="宋体" w:hint="eastAsia"/>
                <w:color w:val="000000"/>
                <w:kern w:val="0"/>
                <w:sz w:val="22"/>
              </w:rPr>
              <w:t>号</w:t>
            </w:r>
            <w:r>
              <w:rPr>
                <w:rFonts w:ascii="等线" w:eastAsia="等线" w:hAnsi="等线" w:cs="宋体" w:hint="eastAsia"/>
                <w:color w:val="000000"/>
                <w:kern w:val="0"/>
                <w:sz w:val="22"/>
              </w:rPr>
              <w:t>19</w:t>
            </w:r>
            <w:r>
              <w:rPr>
                <w:rFonts w:ascii="等线" w:eastAsia="等线" w:hAnsi="等线" w:cs="宋体" w:hint="eastAsia"/>
                <w:color w:val="000000"/>
                <w:kern w:val="0"/>
                <w:sz w:val="22"/>
              </w:rPr>
              <w:t>幢</w:t>
            </w:r>
            <w:r>
              <w:rPr>
                <w:rFonts w:ascii="等线" w:eastAsia="等线" w:hAnsi="等线" w:cs="宋体" w:hint="eastAsia"/>
                <w:color w:val="000000"/>
                <w:kern w:val="0"/>
                <w:sz w:val="22"/>
              </w:rPr>
              <w:t>188</w:t>
            </w:r>
            <w:r>
              <w:rPr>
                <w:rFonts w:ascii="等线" w:eastAsia="等线" w:hAnsi="等线" w:cs="宋体" w:hint="eastAsia"/>
                <w:color w:val="000000"/>
                <w:kern w:val="0"/>
                <w:sz w:val="22"/>
              </w:rPr>
              <w:t>单元</w:t>
            </w:r>
          </w:p>
        </w:tc>
      </w:tr>
      <w:tr w:rsidR="00AE12E1" w14:paraId="2378D88A" w14:textId="77777777">
        <w:trPr>
          <w:trHeight w:val="278"/>
        </w:trPr>
        <w:tc>
          <w:tcPr>
            <w:tcW w:w="775" w:type="pct"/>
            <w:tcBorders>
              <w:top w:val="nil"/>
              <w:left w:val="single" w:sz="4" w:space="0" w:color="auto"/>
              <w:bottom w:val="single" w:sz="4" w:space="0" w:color="auto"/>
              <w:right w:val="single" w:sz="4" w:space="0" w:color="auto"/>
            </w:tcBorders>
            <w:shd w:val="clear" w:color="auto" w:fill="auto"/>
            <w:noWrap/>
            <w:vAlign w:val="center"/>
          </w:tcPr>
          <w:p w14:paraId="161008D1"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电话</w:t>
            </w:r>
          </w:p>
        </w:tc>
        <w:tc>
          <w:tcPr>
            <w:tcW w:w="4225" w:type="pct"/>
            <w:tcBorders>
              <w:top w:val="nil"/>
              <w:left w:val="nil"/>
              <w:bottom w:val="single" w:sz="4" w:space="0" w:color="auto"/>
              <w:right w:val="single" w:sz="4" w:space="0" w:color="auto"/>
            </w:tcBorders>
            <w:shd w:val="clear" w:color="auto" w:fill="auto"/>
            <w:noWrap/>
            <w:vAlign w:val="bottom"/>
          </w:tcPr>
          <w:p w14:paraId="002EEE4E"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18072339522</w:t>
            </w:r>
          </w:p>
        </w:tc>
      </w:tr>
      <w:tr w:rsidR="00AE12E1" w14:paraId="023A9064" w14:textId="77777777">
        <w:trPr>
          <w:trHeight w:val="278"/>
        </w:trPr>
        <w:tc>
          <w:tcPr>
            <w:tcW w:w="775" w:type="pct"/>
            <w:tcBorders>
              <w:top w:val="nil"/>
              <w:left w:val="single" w:sz="4" w:space="0" w:color="auto"/>
              <w:bottom w:val="single" w:sz="4" w:space="0" w:color="auto"/>
              <w:right w:val="single" w:sz="4" w:space="0" w:color="auto"/>
            </w:tcBorders>
            <w:shd w:val="clear" w:color="auto" w:fill="auto"/>
            <w:noWrap/>
            <w:vAlign w:val="center"/>
          </w:tcPr>
          <w:p w14:paraId="6E17F46F" w14:textId="77777777" w:rsidR="00AE12E1" w:rsidRDefault="00B80973">
            <w:pPr>
              <w:widowControl/>
              <w:rPr>
                <w:rFonts w:ascii="等线" w:eastAsia="等线" w:hAnsi="等线" w:cs="宋体"/>
                <w:b/>
                <w:bCs/>
                <w:color w:val="000000"/>
                <w:kern w:val="0"/>
                <w:szCs w:val="21"/>
              </w:rPr>
            </w:pPr>
            <w:r>
              <w:rPr>
                <w:rFonts w:ascii="等线" w:eastAsia="等线" w:hAnsi="等线" w:cs="宋体" w:hint="eastAsia"/>
                <w:b/>
                <w:bCs/>
                <w:color w:val="000000"/>
                <w:kern w:val="0"/>
                <w:szCs w:val="21"/>
              </w:rPr>
              <w:t>行号</w:t>
            </w:r>
          </w:p>
        </w:tc>
        <w:tc>
          <w:tcPr>
            <w:tcW w:w="4225" w:type="pct"/>
            <w:tcBorders>
              <w:top w:val="nil"/>
              <w:left w:val="nil"/>
              <w:bottom w:val="single" w:sz="4" w:space="0" w:color="auto"/>
              <w:right w:val="single" w:sz="4" w:space="0" w:color="auto"/>
            </w:tcBorders>
            <w:shd w:val="clear" w:color="auto" w:fill="auto"/>
            <w:noWrap/>
            <w:vAlign w:val="bottom"/>
          </w:tcPr>
          <w:p w14:paraId="2809276F"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403290026056</w:t>
            </w:r>
          </w:p>
        </w:tc>
      </w:tr>
    </w:tbl>
    <w:p w14:paraId="1BC1EF3F" w14:textId="77777777" w:rsidR="00AE12E1" w:rsidRDefault="00B80973">
      <w:pPr>
        <w:ind w:firstLineChars="200" w:firstLine="360"/>
        <w:jc w:val="center"/>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对公账户详细信息</w:t>
      </w:r>
    </w:p>
    <w:p w14:paraId="7A041017" w14:textId="77777777" w:rsidR="00AE12E1" w:rsidRDefault="00AE12E1">
      <w:pPr>
        <w:ind w:firstLineChars="200" w:firstLine="420"/>
      </w:pPr>
    </w:p>
    <w:p w14:paraId="08EA28C9" w14:textId="77777777" w:rsidR="00AE12E1" w:rsidRDefault="00B80973">
      <w:pPr>
        <w:rPr>
          <w:b/>
          <w:bCs/>
        </w:rPr>
      </w:pPr>
      <w:r>
        <w:rPr>
          <w:rFonts w:hint="eastAsia"/>
          <w:b/>
          <w:bCs/>
        </w:rPr>
        <w:t>1.3</w:t>
      </w:r>
      <w:r>
        <w:rPr>
          <w:b/>
          <w:bCs/>
        </w:rPr>
        <w:t xml:space="preserve"> </w:t>
      </w:r>
      <w:r>
        <w:rPr>
          <w:rFonts w:hint="eastAsia"/>
          <w:b/>
          <w:bCs/>
        </w:rPr>
        <w:t>预计利润表编制</w:t>
      </w:r>
    </w:p>
    <w:p w14:paraId="1A2B6630" w14:textId="77777777" w:rsidR="00AE12E1" w:rsidRDefault="00B80973">
      <w:pPr>
        <w:ind w:firstLineChars="200" w:firstLine="420"/>
      </w:pPr>
      <w:r>
        <w:rPr>
          <w:rFonts w:hint="eastAsia"/>
        </w:rPr>
        <w:t>假定</w:t>
      </w:r>
      <w:r>
        <w:rPr>
          <w:rFonts w:hint="eastAsia"/>
        </w:rPr>
        <w:t>1</w:t>
      </w:r>
      <w:r>
        <w:rPr>
          <w:rFonts w:hint="eastAsia"/>
        </w:rPr>
        <w:t>年半</w:t>
      </w:r>
      <w:r>
        <w:t>后能够销售完</w:t>
      </w:r>
      <w:r>
        <w:rPr>
          <w:rFonts w:hint="eastAsia"/>
        </w:rPr>
        <w:t>所进的</w:t>
      </w:r>
      <w:r>
        <w:t>第一批</w:t>
      </w:r>
      <w:r>
        <w:rPr>
          <w:rFonts w:hint="eastAsia"/>
        </w:rPr>
        <w:t>植物种子，</w:t>
      </w:r>
      <w:r>
        <w:rPr>
          <w:rFonts w:hint="eastAsia"/>
        </w:rPr>
        <w:t>1</w:t>
      </w:r>
      <w:r>
        <w:rPr>
          <w:rFonts w:hint="eastAsia"/>
        </w:rPr>
        <w:t>年后能够销售完第一批元宇宙玩家付费加工的数字藏品</w:t>
      </w:r>
      <w:r>
        <w:t>，通过估算、市场价格比对参考等方法，本</w:t>
      </w:r>
      <w:r>
        <w:rPr>
          <w:rFonts w:hint="eastAsia"/>
        </w:rPr>
        <w:t>公司未来十年</w:t>
      </w:r>
      <w:r>
        <w:t>预计利润表如下</w:t>
      </w:r>
      <w:r>
        <w:rPr>
          <w:rFonts w:hint="eastAsia"/>
        </w:rPr>
        <w:t>表</w:t>
      </w:r>
      <w:r>
        <w:t>所示：</w:t>
      </w:r>
    </w:p>
    <w:p w14:paraId="0DFBF7A3" w14:textId="77777777" w:rsidR="00AE12E1" w:rsidRDefault="00AE12E1">
      <w:pPr>
        <w:ind w:firstLineChars="200" w:firstLine="420"/>
      </w:pPr>
    </w:p>
    <w:p w14:paraId="1657E489" w14:textId="77777777" w:rsidR="00AE12E1" w:rsidRDefault="00AE12E1">
      <w:pPr>
        <w:ind w:firstLineChars="200" w:firstLine="420"/>
      </w:pPr>
    </w:p>
    <w:p w14:paraId="44E717B6" w14:textId="77777777" w:rsidR="00AE12E1" w:rsidRDefault="00AE12E1">
      <w:pPr>
        <w:ind w:firstLineChars="200" w:firstLine="420"/>
      </w:pPr>
    </w:p>
    <w:p w14:paraId="708586F1" w14:textId="77777777" w:rsidR="00AE12E1" w:rsidRDefault="00AE12E1">
      <w:pPr>
        <w:ind w:firstLineChars="200" w:firstLine="420"/>
      </w:pPr>
    </w:p>
    <w:p w14:paraId="4D96C5FC" w14:textId="77777777" w:rsidR="00AE12E1" w:rsidRDefault="00AE12E1">
      <w:pPr>
        <w:ind w:firstLineChars="200" w:firstLine="420"/>
      </w:pPr>
    </w:p>
    <w:tbl>
      <w:tblPr>
        <w:tblW w:w="5000" w:type="pct"/>
        <w:jc w:val="center"/>
        <w:tblLook w:val="04A0" w:firstRow="1" w:lastRow="0" w:firstColumn="1" w:lastColumn="0" w:noHBand="0" w:noVBand="1"/>
      </w:tblPr>
      <w:tblGrid>
        <w:gridCol w:w="4035"/>
        <w:gridCol w:w="1199"/>
        <w:gridCol w:w="1809"/>
        <w:gridCol w:w="1253"/>
      </w:tblGrid>
      <w:tr w:rsidR="00AE12E1" w14:paraId="3445E1A0" w14:textId="77777777">
        <w:trPr>
          <w:trHeight w:val="278"/>
          <w:jc w:val="center"/>
        </w:trPr>
        <w:tc>
          <w:tcPr>
            <w:tcW w:w="224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3626E5"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p>
        </w:tc>
        <w:tc>
          <w:tcPr>
            <w:tcW w:w="867" w:type="pct"/>
            <w:tcBorders>
              <w:top w:val="single" w:sz="4" w:space="0" w:color="auto"/>
              <w:left w:val="nil"/>
              <w:bottom w:val="single" w:sz="4" w:space="0" w:color="auto"/>
              <w:right w:val="single" w:sz="4" w:space="0" w:color="auto"/>
            </w:tcBorders>
            <w:shd w:val="clear" w:color="auto" w:fill="auto"/>
            <w:noWrap/>
            <w:vAlign w:val="bottom"/>
          </w:tcPr>
          <w:p w14:paraId="347EEA92"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2022</w:t>
            </w:r>
            <w:r>
              <w:rPr>
                <w:rFonts w:ascii="等线" w:eastAsia="等线" w:hAnsi="等线" w:cs="宋体" w:hint="eastAsia"/>
                <w:b/>
                <w:bCs/>
                <w:color w:val="000000"/>
                <w:kern w:val="0"/>
                <w:sz w:val="22"/>
              </w:rPr>
              <w:t>年</w:t>
            </w:r>
          </w:p>
        </w:tc>
        <w:tc>
          <w:tcPr>
            <w:tcW w:w="1235" w:type="pct"/>
            <w:tcBorders>
              <w:top w:val="single" w:sz="4" w:space="0" w:color="auto"/>
              <w:left w:val="nil"/>
              <w:bottom w:val="single" w:sz="4" w:space="0" w:color="auto"/>
              <w:right w:val="single" w:sz="4" w:space="0" w:color="auto"/>
            </w:tcBorders>
            <w:shd w:val="clear" w:color="auto" w:fill="auto"/>
            <w:noWrap/>
            <w:vAlign w:val="bottom"/>
          </w:tcPr>
          <w:p w14:paraId="03F9B28B"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2023</w:t>
            </w:r>
            <w:r>
              <w:rPr>
                <w:rFonts w:ascii="等线" w:eastAsia="等线" w:hAnsi="等线" w:cs="宋体" w:hint="eastAsia"/>
                <w:b/>
                <w:bCs/>
                <w:color w:val="000000"/>
                <w:kern w:val="0"/>
                <w:sz w:val="22"/>
              </w:rPr>
              <w:t>年</w:t>
            </w:r>
          </w:p>
        </w:tc>
        <w:tc>
          <w:tcPr>
            <w:tcW w:w="657" w:type="pct"/>
            <w:tcBorders>
              <w:top w:val="single" w:sz="4" w:space="0" w:color="auto"/>
              <w:left w:val="nil"/>
              <w:bottom w:val="single" w:sz="4" w:space="0" w:color="auto"/>
              <w:right w:val="single" w:sz="4" w:space="0" w:color="auto"/>
            </w:tcBorders>
            <w:shd w:val="clear" w:color="auto" w:fill="auto"/>
            <w:noWrap/>
            <w:vAlign w:val="bottom"/>
          </w:tcPr>
          <w:p w14:paraId="1D432742"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2024</w:t>
            </w:r>
            <w:r>
              <w:rPr>
                <w:rFonts w:ascii="等线" w:eastAsia="等线" w:hAnsi="等线" w:cs="宋体" w:hint="eastAsia"/>
                <w:b/>
                <w:bCs/>
                <w:color w:val="000000"/>
                <w:kern w:val="0"/>
                <w:sz w:val="22"/>
              </w:rPr>
              <w:t>年</w:t>
            </w:r>
          </w:p>
        </w:tc>
      </w:tr>
      <w:tr w:rsidR="00AE12E1" w14:paraId="300C2D50"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77ED7803"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一、营业收入</w:t>
            </w:r>
          </w:p>
        </w:tc>
        <w:tc>
          <w:tcPr>
            <w:tcW w:w="867" w:type="pct"/>
            <w:tcBorders>
              <w:top w:val="nil"/>
              <w:left w:val="nil"/>
              <w:bottom w:val="single" w:sz="4" w:space="0" w:color="auto"/>
              <w:right w:val="single" w:sz="4" w:space="0" w:color="auto"/>
            </w:tcBorders>
            <w:shd w:val="clear" w:color="auto" w:fill="auto"/>
            <w:noWrap/>
            <w:vAlign w:val="bottom"/>
          </w:tcPr>
          <w:p w14:paraId="6C21F07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1,088,890 </w:t>
            </w:r>
          </w:p>
        </w:tc>
        <w:tc>
          <w:tcPr>
            <w:tcW w:w="1235" w:type="pct"/>
            <w:tcBorders>
              <w:top w:val="nil"/>
              <w:left w:val="nil"/>
              <w:bottom w:val="single" w:sz="4" w:space="0" w:color="auto"/>
              <w:right w:val="single" w:sz="4" w:space="0" w:color="auto"/>
            </w:tcBorders>
            <w:shd w:val="clear" w:color="auto" w:fill="auto"/>
            <w:noWrap/>
            <w:vAlign w:val="bottom"/>
          </w:tcPr>
          <w:p w14:paraId="6D12FC4A"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1,359,210 </w:t>
            </w:r>
          </w:p>
        </w:tc>
        <w:tc>
          <w:tcPr>
            <w:tcW w:w="657" w:type="pct"/>
            <w:tcBorders>
              <w:top w:val="nil"/>
              <w:left w:val="nil"/>
              <w:bottom w:val="single" w:sz="4" w:space="0" w:color="auto"/>
              <w:right w:val="single" w:sz="4" w:space="0" w:color="auto"/>
            </w:tcBorders>
            <w:shd w:val="clear" w:color="auto" w:fill="auto"/>
            <w:noWrap/>
            <w:vAlign w:val="bottom"/>
          </w:tcPr>
          <w:p w14:paraId="0C6594DA"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1,733,200 </w:t>
            </w:r>
          </w:p>
        </w:tc>
      </w:tr>
      <w:tr w:rsidR="00AE12E1" w14:paraId="27AF7AF5"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5E331FCA"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其中：商家入驻收入</w:t>
            </w:r>
          </w:p>
        </w:tc>
        <w:tc>
          <w:tcPr>
            <w:tcW w:w="867" w:type="pct"/>
            <w:tcBorders>
              <w:top w:val="nil"/>
              <w:left w:val="nil"/>
              <w:bottom w:val="single" w:sz="4" w:space="0" w:color="auto"/>
              <w:right w:val="single" w:sz="4" w:space="0" w:color="auto"/>
            </w:tcBorders>
            <w:shd w:val="clear" w:color="auto" w:fill="auto"/>
            <w:noWrap/>
            <w:vAlign w:val="bottom"/>
          </w:tcPr>
          <w:p w14:paraId="6A577E65"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332,190 </w:t>
            </w:r>
          </w:p>
        </w:tc>
        <w:tc>
          <w:tcPr>
            <w:tcW w:w="1235" w:type="pct"/>
            <w:tcBorders>
              <w:top w:val="nil"/>
              <w:left w:val="nil"/>
              <w:bottom w:val="single" w:sz="4" w:space="0" w:color="auto"/>
              <w:right w:val="single" w:sz="4" w:space="0" w:color="auto"/>
            </w:tcBorders>
            <w:shd w:val="clear" w:color="auto" w:fill="auto"/>
            <w:noWrap/>
            <w:vAlign w:val="bottom"/>
          </w:tcPr>
          <w:p w14:paraId="3998C5C1"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339,830 </w:t>
            </w:r>
          </w:p>
        </w:tc>
        <w:tc>
          <w:tcPr>
            <w:tcW w:w="657" w:type="pct"/>
            <w:tcBorders>
              <w:top w:val="nil"/>
              <w:left w:val="nil"/>
              <w:bottom w:val="single" w:sz="4" w:space="0" w:color="auto"/>
              <w:right w:val="single" w:sz="4" w:space="0" w:color="auto"/>
            </w:tcBorders>
            <w:shd w:val="clear" w:color="auto" w:fill="auto"/>
            <w:noWrap/>
            <w:vAlign w:val="bottom"/>
          </w:tcPr>
          <w:p w14:paraId="34E74785"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347,640 </w:t>
            </w:r>
          </w:p>
        </w:tc>
      </w:tr>
      <w:tr w:rsidR="00AE12E1" w14:paraId="5F222641"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120CC0FA" w14:textId="77777777" w:rsidR="00AE12E1" w:rsidRDefault="00B80973">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文娱收入</w:t>
            </w:r>
          </w:p>
        </w:tc>
        <w:tc>
          <w:tcPr>
            <w:tcW w:w="867" w:type="pct"/>
            <w:tcBorders>
              <w:top w:val="nil"/>
              <w:left w:val="nil"/>
              <w:bottom w:val="single" w:sz="4" w:space="0" w:color="auto"/>
              <w:right w:val="single" w:sz="4" w:space="0" w:color="auto"/>
            </w:tcBorders>
            <w:shd w:val="clear" w:color="auto" w:fill="auto"/>
            <w:noWrap/>
            <w:vAlign w:val="bottom"/>
          </w:tcPr>
          <w:p w14:paraId="0E540499"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90,000 </w:t>
            </w:r>
          </w:p>
        </w:tc>
        <w:tc>
          <w:tcPr>
            <w:tcW w:w="1235" w:type="pct"/>
            <w:tcBorders>
              <w:top w:val="nil"/>
              <w:left w:val="nil"/>
              <w:bottom w:val="single" w:sz="4" w:space="0" w:color="auto"/>
              <w:right w:val="single" w:sz="4" w:space="0" w:color="auto"/>
            </w:tcBorders>
            <w:shd w:val="clear" w:color="auto" w:fill="auto"/>
            <w:noWrap/>
            <w:vAlign w:val="bottom"/>
          </w:tcPr>
          <w:p w14:paraId="484129E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90,000 </w:t>
            </w:r>
          </w:p>
        </w:tc>
        <w:tc>
          <w:tcPr>
            <w:tcW w:w="657" w:type="pct"/>
            <w:tcBorders>
              <w:top w:val="nil"/>
              <w:left w:val="nil"/>
              <w:bottom w:val="single" w:sz="4" w:space="0" w:color="auto"/>
              <w:right w:val="single" w:sz="4" w:space="0" w:color="auto"/>
            </w:tcBorders>
            <w:shd w:val="clear" w:color="auto" w:fill="auto"/>
            <w:noWrap/>
            <w:vAlign w:val="bottom"/>
          </w:tcPr>
          <w:p w14:paraId="06F0CE2C"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90,000 </w:t>
            </w:r>
          </w:p>
        </w:tc>
      </w:tr>
      <w:tr w:rsidR="00AE12E1" w14:paraId="4E4C5142"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3C227543"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线上植物商店收入</w:t>
            </w:r>
          </w:p>
        </w:tc>
        <w:tc>
          <w:tcPr>
            <w:tcW w:w="867" w:type="pct"/>
            <w:tcBorders>
              <w:top w:val="nil"/>
              <w:left w:val="nil"/>
              <w:bottom w:val="single" w:sz="4" w:space="0" w:color="auto"/>
              <w:right w:val="single" w:sz="4" w:space="0" w:color="auto"/>
            </w:tcBorders>
            <w:shd w:val="clear" w:color="auto" w:fill="auto"/>
            <w:noWrap/>
            <w:vAlign w:val="bottom"/>
          </w:tcPr>
          <w:p w14:paraId="10F9698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666,700 </w:t>
            </w:r>
          </w:p>
        </w:tc>
        <w:tc>
          <w:tcPr>
            <w:tcW w:w="1235" w:type="pct"/>
            <w:tcBorders>
              <w:top w:val="nil"/>
              <w:left w:val="nil"/>
              <w:bottom w:val="single" w:sz="4" w:space="0" w:color="auto"/>
              <w:right w:val="single" w:sz="4" w:space="0" w:color="auto"/>
            </w:tcBorders>
            <w:shd w:val="clear" w:color="auto" w:fill="auto"/>
            <w:noWrap/>
            <w:vAlign w:val="bottom"/>
          </w:tcPr>
          <w:p w14:paraId="4B521FE2" w14:textId="77777777" w:rsidR="00AE12E1" w:rsidRDefault="00B80973">
            <w:pPr>
              <w:widowControl/>
              <w:jc w:val="right"/>
              <w:rPr>
                <w:rFonts w:ascii="等线" w:eastAsia="等线" w:hAnsi="等线" w:cs="宋体"/>
                <w:color w:val="000000"/>
                <w:kern w:val="0"/>
                <w:szCs w:val="21"/>
              </w:rPr>
            </w:pPr>
            <w:r>
              <w:rPr>
                <w:rFonts w:ascii="等线" w:eastAsia="等线" w:hAnsi="等线" w:cs="宋体" w:hint="eastAsia"/>
                <w:color w:val="000000"/>
                <w:kern w:val="0"/>
                <w:szCs w:val="21"/>
              </w:rPr>
              <w:t xml:space="preserve">929,380 </w:t>
            </w:r>
          </w:p>
        </w:tc>
        <w:tc>
          <w:tcPr>
            <w:tcW w:w="657" w:type="pct"/>
            <w:tcBorders>
              <w:top w:val="nil"/>
              <w:left w:val="nil"/>
              <w:bottom w:val="single" w:sz="4" w:space="0" w:color="auto"/>
              <w:right w:val="single" w:sz="4" w:space="0" w:color="auto"/>
            </w:tcBorders>
            <w:shd w:val="clear" w:color="auto" w:fill="auto"/>
            <w:noWrap/>
            <w:vAlign w:val="bottom"/>
          </w:tcPr>
          <w:p w14:paraId="289DF1A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1,295,560 </w:t>
            </w:r>
          </w:p>
        </w:tc>
      </w:tr>
      <w:tr w:rsidR="00AE12E1" w14:paraId="4C4C46A1"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60D636A7"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减：营业成本</w:t>
            </w:r>
          </w:p>
        </w:tc>
        <w:tc>
          <w:tcPr>
            <w:tcW w:w="867" w:type="pct"/>
            <w:tcBorders>
              <w:top w:val="nil"/>
              <w:left w:val="nil"/>
              <w:bottom w:val="single" w:sz="4" w:space="0" w:color="auto"/>
              <w:right w:val="single" w:sz="4" w:space="0" w:color="auto"/>
            </w:tcBorders>
            <w:shd w:val="clear" w:color="auto" w:fill="auto"/>
            <w:noWrap/>
            <w:vAlign w:val="bottom"/>
          </w:tcPr>
          <w:p w14:paraId="14FB912B"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1,088,590 </w:t>
            </w:r>
          </w:p>
        </w:tc>
        <w:tc>
          <w:tcPr>
            <w:tcW w:w="1235" w:type="pct"/>
            <w:tcBorders>
              <w:top w:val="nil"/>
              <w:left w:val="nil"/>
              <w:bottom w:val="single" w:sz="4" w:space="0" w:color="auto"/>
              <w:right w:val="single" w:sz="4" w:space="0" w:color="auto"/>
            </w:tcBorders>
            <w:shd w:val="clear" w:color="auto" w:fill="auto"/>
            <w:noWrap/>
            <w:vAlign w:val="bottom"/>
          </w:tcPr>
          <w:p w14:paraId="11FCD2B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886,610 </w:t>
            </w:r>
          </w:p>
        </w:tc>
        <w:tc>
          <w:tcPr>
            <w:tcW w:w="657" w:type="pct"/>
            <w:tcBorders>
              <w:top w:val="nil"/>
              <w:left w:val="nil"/>
              <w:bottom w:val="single" w:sz="4" w:space="0" w:color="auto"/>
              <w:right w:val="single" w:sz="4" w:space="0" w:color="auto"/>
            </w:tcBorders>
            <w:shd w:val="clear" w:color="auto" w:fill="auto"/>
            <w:noWrap/>
            <w:vAlign w:val="bottom"/>
          </w:tcPr>
          <w:p w14:paraId="2B2BD9B9"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1,123,830 </w:t>
            </w:r>
          </w:p>
        </w:tc>
      </w:tr>
      <w:tr w:rsidR="00AE12E1" w14:paraId="3E8087D8"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253E5FB6"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其中：商家入驻成本</w:t>
            </w:r>
          </w:p>
        </w:tc>
        <w:tc>
          <w:tcPr>
            <w:tcW w:w="867" w:type="pct"/>
            <w:tcBorders>
              <w:top w:val="nil"/>
              <w:left w:val="nil"/>
              <w:bottom w:val="single" w:sz="4" w:space="0" w:color="auto"/>
              <w:right w:val="single" w:sz="4" w:space="0" w:color="auto"/>
            </w:tcBorders>
            <w:shd w:val="clear" w:color="auto" w:fill="auto"/>
            <w:noWrap/>
            <w:vAlign w:val="bottom"/>
          </w:tcPr>
          <w:p w14:paraId="64EA9F0F"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594,210 </w:t>
            </w:r>
          </w:p>
        </w:tc>
        <w:tc>
          <w:tcPr>
            <w:tcW w:w="1235" w:type="pct"/>
            <w:tcBorders>
              <w:top w:val="nil"/>
              <w:left w:val="nil"/>
              <w:bottom w:val="single" w:sz="4" w:space="0" w:color="auto"/>
              <w:right w:val="single" w:sz="4" w:space="0" w:color="auto"/>
            </w:tcBorders>
            <w:shd w:val="clear" w:color="auto" w:fill="auto"/>
            <w:noWrap/>
            <w:vAlign w:val="bottom"/>
          </w:tcPr>
          <w:p w14:paraId="17E4E96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331,960 </w:t>
            </w:r>
          </w:p>
        </w:tc>
        <w:tc>
          <w:tcPr>
            <w:tcW w:w="657" w:type="pct"/>
            <w:tcBorders>
              <w:top w:val="nil"/>
              <w:left w:val="nil"/>
              <w:bottom w:val="single" w:sz="4" w:space="0" w:color="auto"/>
              <w:right w:val="single" w:sz="4" w:space="0" w:color="auto"/>
            </w:tcBorders>
            <w:shd w:val="clear" w:color="auto" w:fill="auto"/>
            <w:noWrap/>
            <w:vAlign w:val="bottom"/>
          </w:tcPr>
          <w:p w14:paraId="43DADDEC"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374,550 </w:t>
            </w:r>
          </w:p>
        </w:tc>
      </w:tr>
      <w:tr w:rsidR="00AE12E1" w14:paraId="3E684B05"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63E82C87" w14:textId="77777777" w:rsidR="00AE12E1" w:rsidRDefault="00B80973">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文娱成本</w:t>
            </w:r>
          </w:p>
        </w:tc>
        <w:tc>
          <w:tcPr>
            <w:tcW w:w="867" w:type="pct"/>
            <w:tcBorders>
              <w:top w:val="nil"/>
              <w:left w:val="nil"/>
              <w:bottom w:val="single" w:sz="4" w:space="0" w:color="auto"/>
              <w:right w:val="single" w:sz="4" w:space="0" w:color="auto"/>
            </w:tcBorders>
            <w:shd w:val="clear" w:color="auto" w:fill="auto"/>
            <w:noWrap/>
            <w:vAlign w:val="bottom"/>
          </w:tcPr>
          <w:p w14:paraId="5D0126AF"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161,030 </w:t>
            </w:r>
          </w:p>
        </w:tc>
        <w:tc>
          <w:tcPr>
            <w:tcW w:w="1235" w:type="pct"/>
            <w:tcBorders>
              <w:top w:val="nil"/>
              <w:left w:val="nil"/>
              <w:bottom w:val="single" w:sz="4" w:space="0" w:color="auto"/>
              <w:right w:val="single" w:sz="4" w:space="0" w:color="auto"/>
            </w:tcBorders>
            <w:shd w:val="clear" w:color="auto" w:fill="auto"/>
            <w:noWrap/>
            <w:vAlign w:val="bottom"/>
          </w:tcPr>
          <w:p w14:paraId="1035FA25"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89,960 </w:t>
            </w:r>
          </w:p>
        </w:tc>
        <w:tc>
          <w:tcPr>
            <w:tcW w:w="657" w:type="pct"/>
            <w:tcBorders>
              <w:top w:val="nil"/>
              <w:left w:val="nil"/>
              <w:bottom w:val="single" w:sz="4" w:space="0" w:color="auto"/>
              <w:right w:val="single" w:sz="4" w:space="0" w:color="auto"/>
            </w:tcBorders>
            <w:shd w:val="clear" w:color="auto" w:fill="auto"/>
            <w:noWrap/>
            <w:vAlign w:val="bottom"/>
          </w:tcPr>
          <w:p w14:paraId="01CA068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101,500 </w:t>
            </w:r>
          </w:p>
        </w:tc>
      </w:tr>
      <w:tr w:rsidR="00AE12E1" w14:paraId="34A477FA"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4212D596"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线上植物商店成本</w:t>
            </w:r>
          </w:p>
        </w:tc>
        <w:tc>
          <w:tcPr>
            <w:tcW w:w="867" w:type="pct"/>
            <w:tcBorders>
              <w:top w:val="nil"/>
              <w:left w:val="nil"/>
              <w:bottom w:val="single" w:sz="4" w:space="0" w:color="auto"/>
              <w:right w:val="single" w:sz="4" w:space="0" w:color="auto"/>
            </w:tcBorders>
            <w:shd w:val="clear" w:color="auto" w:fill="auto"/>
            <w:noWrap/>
            <w:vAlign w:val="bottom"/>
          </w:tcPr>
          <w:p w14:paraId="6798B30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333,350 </w:t>
            </w:r>
          </w:p>
        </w:tc>
        <w:tc>
          <w:tcPr>
            <w:tcW w:w="1235" w:type="pct"/>
            <w:tcBorders>
              <w:top w:val="nil"/>
              <w:left w:val="nil"/>
              <w:bottom w:val="single" w:sz="4" w:space="0" w:color="auto"/>
              <w:right w:val="single" w:sz="4" w:space="0" w:color="auto"/>
            </w:tcBorders>
            <w:shd w:val="clear" w:color="auto" w:fill="auto"/>
            <w:noWrap/>
            <w:vAlign w:val="bottom"/>
          </w:tcPr>
          <w:p w14:paraId="6818338F"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464,690 </w:t>
            </w:r>
          </w:p>
        </w:tc>
        <w:tc>
          <w:tcPr>
            <w:tcW w:w="657" w:type="pct"/>
            <w:tcBorders>
              <w:top w:val="nil"/>
              <w:left w:val="nil"/>
              <w:bottom w:val="single" w:sz="4" w:space="0" w:color="auto"/>
              <w:right w:val="single" w:sz="4" w:space="0" w:color="auto"/>
            </w:tcBorders>
            <w:shd w:val="clear" w:color="auto" w:fill="auto"/>
            <w:noWrap/>
            <w:vAlign w:val="bottom"/>
          </w:tcPr>
          <w:p w14:paraId="037EDB01"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647,780 </w:t>
            </w:r>
          </w:p>
        </w:tc>
      </w:tr>
      <w:tr w:rsidR="00AE12E1" w14:paraId="506772E4"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249B77A8"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营业税金及附加</w:t>
            </w:r>
          </w:p>
        </w:tc>
        <w:tc>
          <w:tcPr>
            <w:tcW w:w="867" w:type="pct"/>
            <w:tcBorders>
              <w:top w:val="nil"/>
              <w:left w:val="nil"/>
              <w:bottom w:val="single" w:sz="4" w:space="0" w:color="auto"/>
              <w:right w:val="single" w:sz="4" w:space="0" w:color="auto"/>
            </w:tcBorders>
            <w:shd w:val="clear" w:color="auto" w:fill="auto"/>
            <w:noWrap/>
            <w:vAlign w:val="bottom"/>
          </w:tcPr>
          <w:p w14:paraId="7B4A2698"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1235" w:type="pct"/>
            <w:tcBorders>
              <w:top w:val="nil"/>
              <w:left w:val="nil"/>
              <w:bottom w:val="single" w:sz="4" w:space="0" w:color="auto"/>
              <w:right w:val="single" w:sz="4" w:space="0" w:color="auto"/>
            </w:tcBorders>
            <w:shd w:val="clear" w:color="auto" w:fill="auto"/>
            <w:noWrap/>
            <w:vAlign w:val="bottom"/>
          </w:tcPr>
          <w:p w14:paraId="66B788C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657" w:type="pct"/>
            <w:tcBorders>
              <w:top w:val="nil"/>
              <w:left w:val="nil"/>
              <w:bottom w:val="single" w:sz="4" w:space="0" w:color="auto"/>
              <w:right w:val="single" w:sz="4" w:space="0" w:color="auto"/>
            </w:tcBorders>
            <w:shd w:val="clear" w:color="auto" w:fill="auto"/>
            <w:noWrap/>
            <w:vAlign w:val="bottom"/>
          </w:tcPr>
          <w:p w14:paraId="2A0657EA"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r>
      <w:tr w:rsidR="00AE12E1" w14:paraId="58EC3290"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2BAF683A"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销售费用</w:t>
            </w:r>
          </w:p>
        </w:tc>
        <w:tc>
          <w:tcPr>
            <w:tcW w:w="867" w:type="pct"/>
            <w:tcBorders>
              <w:top w:val="nil"/>
              <w:left w:val="nil"/>
              <w:bottom w:val="single" w:sz="4" w:space="0" w:color="auto"/>
              <w:right w:val="single" w:sz="4" w:space="0" w:color="auto"/>
            </w:tcBorders>
            <w:shd w:val="clear" w:color="auto" w:fill="auto"/>
            <w:noWrap/>
            <w:vAlign w:val="bottom"/>
          </w:tcPr>
          <w:p w14:paraId="033E32EB"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359,900 </w:t>
            </w:r>
          </w:p>
        </w:tc>
        <w:tc>
          <w:tcPr>
            <w:tcW w:w="1235" w:type="pct"/>
            <w:tcBorders>
              <w:top w:val="nil"/>
              <w:left w:val="nil"/>
              <w:bottom w:val="single" w:sz="4" w:space="0" w:color="auto"/>
              <w:right w:val="single" w:sz="4" w:space="0" w:color="auto"/>
            </w:tcBorders>
            <w:shd w:val="clear" w:color="auto" w:fill="auto"/>
            <w:noWrap/>
            <w:vAlign w:val="bottom"/>
          </w:tcPr>
          <w:p w14:paraId="04341D8B"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359,900 </w:t>
            </w:r>
          </w:p>
        </w:tc>
        <w:tc>
          <w:tcPr>
            <w:tcW w:w="657" w:type="pct"/>
            <w:tcBorders>
              <w:top w:val="nil"/>
              <w:left w:val="nil"/>
              <w:bottom w:val="single" w:sz="4" w:space="0" w:color="auto"/>
              <w:right w:val="single" w:sz="4" w:space="0" w:color="auto"/>
            </w:tcBorders>
            <w:shd w:val="clear" w:color="auto" w:fill="auto"/>
            <w:noWrap/>
            <w:vAlign w:val="bottom"/>
          </w:tcPr>
          <w:p w14:paraId="5E5E0B81"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359,900 </w:t>
            </w:r>
          </w:p>
        </w:tc>
      </w:tr>
      <w:tr w:rsidR="00AE12E1" w14:paraId="58E52C38"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785C9FA4"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管理费用</w:t>
            </w:r>
          </w:p>
        </w:tc>
        <w:tc>
          <w:tcPr>
            <w:tcW w:w="867" w:type="pct"/>
            <w:tcBorders>
              <w:top w:val="nil"/>
              <w:left w:val="nil"/>
              <w:bottom w:val="single" w:sz="4" w:space="0" w:color="auto"/>
              <w:right w:val="single" w:sz="4" w:space="0" w:color="auto"/>
            </w:tcBorders>
            <w:shd w:val="clear" w:color="auto" w:fill="auto"/>
            <w:noWrap/>
            <w:vAlign w:val="bottom"/>
          </w:tcPr>
          <w:p w14:paraId="146554E9"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225,300 </w:t>
            </w:r>
          </w:p>
        </w:tc>
        <w:tc>
          <w:tcPr>
            <w:tcW w:w="1235" w:type="pct"/>
            <w:tcBorders>
              <w:top w:val="nil"/>
              <w:left w:val="nil"/>
              <w:bottom w:val="single" w:sz="4" w:space="0" w:color="auto"/>
              <w:right w:val="single" w:sz="4" w:space="0" w:color="auto"/>
            </w:tcBorders>
            <w:shd w:val="clear" w:color="auto" w:fill="auto"/>
            <w:noWrap/>
            <w:vAlign w:val="bottom"/>
          </w:tcPr>
          <w:p w14:paraId="0E772BB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2,508,700 </w:t>
            </w:r>
          </w:p>
        </w:tc>
        <w:tc>
          <w:tcPr>
            <w:tcW w:w="657" w:type="pct"/>
            <w:tcBorders>
              <w:top w:val="nil"/>
              <w:left w:val="nil"/>
              <w:bottom w:val="single" w:sz="4" w:space="0" w:color="auto"/>
              <w:right w:val="single" w:sz="4" w:space="0" w:color="auto"/>
            </w:tcBorders>
            <w:shd w:val="clear" w:color="auto" w:fill="auto"/>
            <w:noWrap/>
            <w:vAlign w:val="bottom"/>
          </w:tcPr>
          <w:p w14:paraId="0CD4C06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2,797,200 </w:t>
            </w:r>
          </w:p>
        </w:tc>
      </w:tr>
      <w:tr w:rsidR="00AE12E1" w14:paraId="49DA6B00"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6ADE3828"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二、营业利润（亏损以“</w:t>
            </w:r>
            <w:r>
              <w:rPr>
                <w:rFonts w:ascii="等线" w:eastAsia="等线" w:hAnsi="等线" w:cs="宋体" w:hint="eastAsia"/>
                <w:b/>
                <w:bCs/>
                <w:color w:val="000000"/>
                <w:kern w:val="0"/>
                <w:sz w:val="22"/>
              </w:rPr>
              <w:t>-</w:t>
            </w:r>
            <w:r>
              <w:rPr>
                <w:rFonts w:ascii="等线" w:eastAsia="等线" w:hAnsi="等线" w:cs="宋体" w:hint="eastAsia"/>
                <w:b/>
                <w:bCs/>
                <w:color w:val="000000"/>
                <w:kern w:val="0"/>
                <w:sz w:val="22"/>
              </w:rPr>
              <w:t>”号填列）</w:t>
            </w:r>
          </w:p>
        </w:tc>
        <w:tc>
          <w:tcPr>
            <w:tcW w:w="867" w:type="pct"/>
            <w:tcBorders>
              <w:top w:val="nil"/>
              <w:left w:val="nil"/>
              <w:bottom w:val="single" w:sz="4" w:space="0" w:color="auto"/>
              <w:right w:val="single" w:sz="4" w:space="0" w:color="auto"/>
            </w:tcBorders>
            <w:shd w:val="clear" w:color="auto" w:fill="auto"/>
            <w:noWrap/>
            <w:vAlign w:val="bottom"/>
          </w:tcPr>
          <w:p w14:paraId="6A1D523C"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(584,900)</w:t>
            </w:r>
          </w:p>
        </w:tc>
        <w:tc>
          <w:tcPr>
            <w:tcW w:w="1235" w:type="pct"/>
            <w:tcBorders>
              <w:top w:val="nil"/>
              <w:left w:val="nil"/>
              <w:bottom w:val="single" w:sz="4" w:space="0" w:color="auto"/>
              <w:right w:val="single" w:sz="4" w:space="0" w:color="auto"/>
            </w:tcBorders>
            <w:shd w:val="clear" w:color="auto" w:fill="auto"/>
            <w:noWrap/>
            <w:vAlign w:val="bottom"/>
          </w:tcPr>
          <w:p w14:paraId="01E8C3CF"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(2,396,000)</w:t>
            </w:r>
          </w:p>
        </w:tc>
        <w:tc>
          <w:tcPr>
            <w:tcW w:w="657" w:type="pct"/>
            <w:tcBorders>
              <w:top w:val="nil"/>
              <w:left w:val="nil"/>
              <w:bottom w:val="single" w:sz="4" w:space="0" w:color="auto"/>
              <w:right w:val="single" w:sz="4" w:space="0" w:color="auto"/>
            </w:tcBorders>
            <w:shd w:val="clear" w:color="auto" w:fill="auto"/>
            <w:noWrap/>
            <w:vAlign w:val="bottom"/>
          </w:tcPr>
          <w:p w14:paraId="59AC80EA"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(2,547,730)</w:t>
            </w:r>
          </w:p>
        </w:tc>
      </w:tr>
      <w:tr w:rsidR="00AE12E1" w14:paraId="5F3507FE"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5B47AF3F"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加：营业外收入</w:t>
            </w:r>
          </w:p>
        </w:tc>
        <w:tc>
          <w:tcPr>
            <w:tcW w:w="867" w:type="pct"/>
            <w:tcBorders>
              <w:top w:val="nil"/>
              <w:left w:val="nil"/>
              <w:bottom w:val="single" w:sz="4" w:space="0" w:color="auto"/>
              <w:right w:val="single" w:sz="4" w:space="0" w:color="auto"/>
            </w:tcBorders>
            <w:shd w:val="clear" w:color="auto" w:fill="auto"/>
            <w:noWrap/>
            <w:vAlign w:val="bottom"/>
          </w:tcPr>
          <w:p w14:paraId="681AF254"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7,000 </w:t>
            </w:r>
          </w:p>
        </w:tc>
        <w:tc>
          <w:tcPr>
            <w:tcW w:w="1235" w:type="pct"/>
            <w:tcBorders>
              <w:top w:val="nil"/>
              <w:left w:val="nil"/>
              <w:bottom w:val="single" w:sz="4" w:space="0" w:color="auto"/>
              <w:right w:val="single" w:sz="4" w:space="0" w:color="auto"/>
            </w:tcBorders>
            <w:shd w:val="clear" w:color="auto" w:fill="auto"/>
            <w:noWrap/>
            <w:vAlign w:val="bottom"/>
          </w:tcPr>
          <w:p w14:paraId="6CCF76AD"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657" w:type="pct"/>
            <w:tcBorders>
              <w:top w:val="nil"/>
              <w:left w:val="nil"/>
              <w:bottom w:val="single" w:sz="4" w:space="0" w:color="auto"/>
              <w:right w:val="single" w:sz="4" w:space="0" w:color="auto"/>
            </w:tcBorders>
            <w:shd w:val="clear" w:color="auto" w:fill="auto"/>
            <w:noWrap/>
            <w:vAlign w:val="bottom"/>
          </w:tcPr>
          <w:p w14:paraId="6E08B5D8"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r>
      <w:tr w:rsidR="00AE12E1" w14:paraId="601AD82C"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1080841A"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减：营业外支出</w:t>
            </w:r>
          </w:p>
        </w:tc>
        <w:tc>
          <w:tcPr>
            <w:tcW w:w="867" w:type="pct"/>
            <w:tcBorders>
              <w:top w:val="nil"/>
              <w:left w:val="nil"/>
              <w:bottom w:val="single" w:sz="4" w:space="0" w:color="auto"/>
              <w:right w:val="single" w:sz="4" w:space="0" w:color="auto"/>
            </w:tcBorders>
            <w:shd w:val="clear" w:color="auto" w:fill="auto"/>
            <w:noWrap/>
            <w:vAlign w:val="bottom"/>
          </w:tcPr>
          <w:p w14:paraId="2D589158"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1235" w:type="pct"/>
            <w:tcBorders>
              <w:top w:val="nil"/>
              <w:left w:val="nil"/>
              <w:bottom w:val="single" w:sz="4" w:space="0" w:color="auto"/>
              <w:right w:val="single" w:sz="4" w:space="0" w:color="auto"/>
            </w:tcBorders>
            <w:shd w:val="clear" w:color="auto" w:fill="auto"/>
            <w:noWrap/>
            <w:vAlign w:val="bottom"/>
          </w:tcPr>
          <w:p w14:paraId="39CCA3C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657" w:type="pct"/>
            <w:tcBorders>
              <w:top w:val="nil"/>
              <w:left w:val="nil"/>
              <w:bottom w:val="single" w:sz="4" w:space="0" w:color="auto"/>
              <w:right w:val="single" w:sz="4" w:space="0" w:color="auto"/>
            </w:tcBorders>
            <w:shd w:val="clear" w:color="auto" w:fill="auto"/>
            <w:noWrap/>
            <w:vAlign w:val="bottom"/>
          </w:tcPr>
          <w:p w14:paraId="7AB3D5B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r>
      <w:tr w:rsidR="00AE12E1" w14:paraId="61701E80"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00E3F238"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三、利润总额（亏损总额以“</w:t>
            </w:r>
            <w:r>
              <w:rPr>
                <w:rFonts w:ascii="等线" w:eastAsia="等线" w:hAnsi="等线" w:cs="宋体" w:hint="eastAsia"/>
                <w:b/>
                <w:bCs/>
                <w:color w:val="000000"/>
                <w:kern w:val="0"/>
                <w:sz w:val="22"/>
              </w:rPr>
              <w:t>-</w:t>
            </w:r>
            <w:r>
              <w:rPr>
                <w:rFonts w:ascii="等线" w:eastAsia="等线" w:hAnsi="等线" w:cs="宋体" w:hint="eastAsia"/>
                <w:b/>
                <w:bCs/>
                <w:color w:val="000000"/>
                <w:kern w:val="0"/>
                <w:sz w:val="22"/>
              </w:rPr>
              <w:t>”号填列）</w:t>
            </w:r>
          </w:p>
        </w:tc>
        <w:tc>
          <w:tcPr>
            <w:tcW w:w="867" w:type="pct"/>
            <w:tcBorders>
              <w:top w:val="nil"/>
              <w:left w:val="nil"/>
              <w:bottom w:val="single" w:sz="4" w:space="0" w:color="auto"/>
              <w:right w:val="single" w:sz="4" w:space="0" w:color="auto"/>
            </w:tcBorders>
            <w:shd w:val="clear" w:color="auto" w:fill="auto"/>
            <w:noWrap/>
            <w:vAlign w:val="bottom"/>
          </w:tcPr>
          <w:p w14:paraId="43D006D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(577,900)</w:t>
            </w:r>
          </w:p>
        </w:tc>
        <w:tc>
          <w:tcPr>
            <w:tcW w:w="1235" w:type="pct"/>
            <w:tcBorders>
              <w:top w:val="nil"/>
              <w:left w:val="nil"/>
              <w:bottom w:val="single" w:sz="4" w:space="0" w:color="auto"/>
              <w:right w:val="single" w:sz="4" w:space="0" w:color="auto"/>
            </w:tcBorders>
            <w:shd w:val="clear" w:color="auto" w:fill="auto"/>
            <w:noWrap/>
            <w:vAlign w:val="bottom"/>
          </w:tcPr>
          <w:p w14:paraId="1EA33E4D"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(2,396,000)</w:t>
            </w:r>
          </w:p>
        </w:tc>
        <w:tc>
          <w:tcPr>
            <w:tcW w:w="657" w:type="pct"/>
            <w:tcBorders>
              <w:top w:val="nil"/>
              <w:left w:val="nil"/>
              <w:bottom w:val="single" w:sz="4" w:space="0" w:color="auto"/>
              <w:right w:val="single" w:sz="4" w:space="0" w:color="auto"/>
            </w:tcBorders>
            <w:shd w:val="clear" w:color="auto" w:fill="auto"/>
            <w:noWrap/>
            <w:vAlign w:val="bottom"/>
          </w:tcPr>
          <w:p w14:paraId="7799C6E4"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(2,547,730)</w:t>
            </w:r>
          </w:p>
        </w:tc>
      </w:tr>
      <w:tr w:rsidR="00AE12E1" w14:paraId="151E1596"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254EF024"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减：所得税费用</w:t>
            </w:r>
          </w:p>
        </w:tc>
        <w:tc>
          <w:tcPr>
            <w:tcW w:w="867" w:type="pct"/>
            <w:tcBorders>
              <w:top w:val="nil"/>
              <w:left w:val="nil"/>
              <w:bottom w:val="single" w:sz="4" w:space="0" w:color="auto"/>
              <w:right w:val="single" w:sz="4" w:space="0" w:color="auto"/>
            </w:tcBorders>
            <w:shd w:val="clear" w:color="auto" w:fill="auto"/>
            <w:noWrap/>
            <w:vAlign w:val="bottom"/>
          </w:tcPr>
          <w:p w14:paraId="605F4E2C"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1235" w:type="pct"/>
            <w:tcBorders>
              <w:top w:val="nil"/>
              <w:left w:val="nil"/>
              <w:bottom w:val="single" w:sz="4" w:space="0" w:color="auto"/>
              <w:right w:val="single" w:sz="4" w:space="0" w:color="auto"/>
            </w:tcBorders>
            <w:shd w:val="clear" w:color="auto" w:fill="auto"/>
            <w:noWrap/>
            <w:vAlign w:val="bottom"/>
          </w:tcPr>
          <w:p w14:paraId="4346D78F"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c>
          <w:tcPr>
            <w:tcW w:w="657" w:type="pct"/>
            <w:tcBorders>
              <w:top w:val="nil"/>
              <w:left w:val="nil"/>
              <w:bottom w:val="single" w:sz="4" w:space="0" w:color="auto"/>
              <w:right w:val="single" w:sz="4" w:space="0" w:color="auto"/>
            </w:tcBorders>
            <w:shd w:val="clear" w:color="auto" w:fill="auto"/>
            <w:noWrap/>
            <w:vAlign w:val="bottom"/>
          </w:tcPr>
          <w:p w14:paraId="0FC8602B"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 xml:space="preserve">0 </w:t>
            </w:r>
          </w:p>
        </w:tc>
      </w:tr>
      <w:tr w:rsidR="00AE12E1" w14:paraId="7DC48890" w14:textId="77777777">
        <w:trPr>
          <w:trHeight w:val="278"/>
          <w:jc w:val="center"/>
        </w:trPr>
        <w:tc>
          <w:tcPr>
            <w:tcW w:w="2241" w:type="pct"/>
            <w:tcBorders>
              <w:top w:val="nil"/>
              <w:left w:val="single" w:sz="4" w:space="0" w:color="auto"/>
              <w:bottom w:val="single" w:sz="4" w:space="0" w:color="auto"/>
              <w:right w:val="single" w:sz="4" w:space="0" w:color="auto"/>
            </w:tcBorders>
            <w:shd w:val="clear" w:color="auto" w:fill="auto"/>
            <w:noWrap/>
            <w:vAlign w:val="bottom"/>
          </w:tcPr>
          <w:p w14:paraId="3E2EC54D"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四、净利润（净亏损以“</w:t>
            </w:r>
            <w:r>
              <w:rPr>
                <w:rFonts w:ascii="等线" w:eastAsia="等线" w:hAnsi="等线" w:cs="宋体" w:hint="eastAsia"/>
                <w:b/>
                <w:bCs/>
                <w:color w:val="000000"/>
                <w:kern w:val="0"/>
                <w:sz w:val="22"/>
              </w:rPr>
              <w:t>-</w:t>
            </w:r>
            <w:r>
              <w:rPr>
                <w:rFonts w:ascii="等线" w:eastAsia="等线" w:hAnsi="等线" w:cs="宋体" w:hint="eastAsia"/>
                <w:b/>
                <w:bCs/>
                <w:color w:val="000000"/>
                <w:kern w:val="0"/>
                <w:sz w:val="22"/>
              </w:rPr>
              <w:t>”号填列）</w:t>
            </w:r>
          </w:p>
        </w:tc>
        <w:tc>
          <w:tcPr>
            <w:tcW w:w="867" w:type="pct"/>
            <w:tcBorders>
              <w:top w:val="nil"/>
              <w:left w:val="nil"/>
              <w:bottom w:val="single" w:sz="4" w:space="0" w:color="auto"/>
              <w:right w:val="single" w:sz="4" w:space="0" w:color="auto"/>
            </w:tcBorders>
            <w:shd w:val="clear" w:color="auto" w:fill="auto"/>
            <w:noWrap/>
            <w:vAlign w:val="bottom"/>
          </w:tcPr>
          <w:p w14:paraId="2354027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(577,900)</w:t>
            </w:r>
          </w:p>
        </w:tc>
        <w:tc>
          <w:tcPr>
            <w:tcW w:w="1235" w:type="pct"/>
            <w:tcBorders>
              <w:top w:val="nil"/>
              <w:left w:val="nil"/>
              <w:bottom w:val="single" w:sz="4" w:space="0" w:color="auto"/>
              <w:right w:val="single" w:sz="4" w:space="0" w:color="auto"/>
            </w:tcBorders>
            <w:shd w:val="clear" w:color="auto" w:fill="auto"/>
            <w:noWrap/>
            <w:vAlign w:val="bottom"/>
          </w:tcPr>
          <w:p w14:paraId="68EEC9B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(2,396,000)</w:t>
            </w:r>
          </w:p>
        </w:tc>
        <w:tc>
          <w:tcPr>
            <w:tcW w:w="657" w:type="pct"/>
            <w:tcBorders>
              <w:top w:val="nil"/>
              <w:left w:val="nil"/>
              <w:bottom w:val="single" w:sz="4" w:space="0" w:color="auto"/>
              <w:right w:val="single" w:sz="4" w:space="0" w:color="auto"/>
            </w:tcBorders>
            <w:shd w:val="clear" w:color="auto" w:fill="auto"/>
            <w:noWrap/>
            <w:vAlign w:val="bottom"/>
          </w:tcPr>
          <w:p w14:paraId="2BBC9C4A"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FF0000"/>
                <w:kern w:val="0"/>
                <w:sz w:val="22"/>
              </w:rPr>
              <w:t>(2,547,730)</w:t>
            </w:r>
          </w:p>
        </w:tc>
      </w:tr>
    </w:tbl>
    <w:p w14:paraId="77B7F9AA" w14:textId="77777777" w:rsidR="00AE12E1" w:rsidRDefault="00B80973">
      <w:pPr>
        <w:jc w:val="center"/>
        <w:rPr>
          <w:sz w:val="18"/>
          <w:szCs w:val="18"/>
        </w:rPr>
      </w:pPr>
      <w:r>
        <w:rPr>
          <w:rFonts w:hint="eastAsia"/>
          <w:sz w:val="18"/>
          <w:szCs w:val="18"/>
        </w:rPr>
        <w:t>表</w:t>
      </w:r>
      <w:r>
        <w:rPr>
          <w:rFonts w:hint="eastAsia"/>
          <w:sz w:val="18"/>
          <w:szCs w:val="18"/>
        </w:rPr>
        <w:t>2</w:t>
      </w:r>
      <w:r>
        <w:rPr>
          <w:sz w:val="18"/>
          <w:szCs w:val="18"/>
        </w:rPr>
        <w:t xml:space="preserve"> </w:t>
      </w:r>
      <w:r>
        <w:rPr>
          <w:rFonts w:hint="eastAsia"/>
          <w:sz w:val="18"/>
          <w:szCs w:val="18"/>
        </w:rPr>
        <w:t>本公司未来十年预计利润表（部分）</w:t>
      </w:r>
    </w:p>
    <w:p w14:paraId="67F1EA9D" w14:textId="77777777" w:rsidR="00AE12E1" w:rsidRDefault="00B80973">
      <w:pPr>
        <w:ind w:firstLineChars="200" w:firstLine="420"/>
      </w:pPr>
      <w:r>
        <w:rPr>
          <w:rFonts w:hint="eastAsia"/>
        </w:rPr>
        <w:t>利润表编制所使用的相关数据及部分估算值计算逻辑如下：</w:t>
      </w:r>
    </w:p>
    <w:p w14:paraId="46C26C9D" w14:textId="77777777" w:rsidR="00AE12E1" w:rsidRDefault="00B80973">
      <w:pPr>
        <w:rPr>
          <w:b/>
          <w:bCs/>
        </w:rPr>
      </w:pPr>
      <w:r>
        <w:rPr>
          <w:rFonts w:hint="eastAsia"/>
          <w:b/>
          <w:bCs/>
        </w:rPr>
        <w:t>1.3.1</w:t>
      </w:r>
      <w:r>
        <w:rPr>
          <w:b/>
          <w:bCs/>
        </w:rPr>
        <w:t xml:space="preserve"> </w:t>
      </w:r>
      <w:r>
        <w:rPr>
          <w:rFonts w:hint="eastAsia"/>
          <w:b/>
          <w:bCs/>
        </w:rPr>
        <w:t>营业收入</w:t>
      </w:r>
      <w:bookmarkStart w:id="0" w:name="_Hlk105847416"/>
    </w:p>
    <w:p w14:paraId="2BCDAC3C" w14:textId="77777777" w:rsidR="00AE12E1" w:rsidRDefault="00B80973">
      <w:pPr>
        <w:ind w:firstLineChars="200" w:firstLine="420"/>
      </w:pPr>
      <w:r>
        <w:t xml:space="preserve">  </w:t>
      </w:r>
      <w:r>
        <w:rPr>
          <w:rFonts w:hint="eastAsia"/>
        </w:rPr>
        <w:t>其中，“</w:t>
      </w:r>
      <w:r>
        <w:rPr>
          <w:rFonts w:ascii="等线" w:eastAsia="等线" w:hAnsi="等线" w:cs="宋体" w:hint="eastAsia"/>
          <w:color w:val="000000"/>
          <w:kern w:val="0"/>
          <w:sz w:val="22"/>
        </w:rPr>
        <w:t>商家入驻收入</w:t>
      </w:r>
      <w:r>
        <w:rPr>
          <w:rFonts w:hint="eastAsia"/>
        </w:rPr>
        <w:t>”</w:t>
      </w:r>
      <w:bookmarkEnd w:id="0"/>
      <w:r>
        <w:rPr>
          <w:rFonts w:hint="eastAsia"/>
        </w:rPr>
        <w:t>一项由花卉、农作物等植物种子的销售收入组成，</w:t>
      </w:r>
      <w:r>
        <w:rPr>
          <w:rFonts w:hint="eastAsia"/>
          <w:lang w:eastAsia="zh-Hans"/>
        </w:rPr>
        <w:t>基于</w:t>
      </w:r>
      <w:r>
        <w:t>本</w:t>
      </w:r>
      <w:r>
        <w:rPr>
          <w:rFonts w:hint="eastAsia"/>
        </w:rPr>
        <w:t>公司</w:t>
      </w:r>
      <w:r>
        <w:t>的</w:t>
      </w:r>
      <w:r>
        <w:rPr>
          <w:rFonts w:hint="eastAsia"/>
          <w:lang w:eastAsia="zh-Hans"/>
        </w:rPr>
        <w:t>历史</w:t>
      </w:r>
      <w:r>
        <w:t>销售额数据</w:t>
      </w:r>
      <w:r>
        <w:rPr>
          <w:rFonts w:hint="eastAsia"/>
        </w:rPr>
        <w:t>进行估算。</w:t>
      </w:r>
      <w:r>
        <w:t>因此，预计</w:t>
      </w:r>
      <w:r>
        <w:rPr>
          <w:rFonts w:hint="eastAsia"/>
        </w:rPr>
        <w:t>2022</w:t>
      </w:r>
      <w:r>
        <w:rPr>
          <w:rFonts w:hint="eastAsia"/>
        </w:rPr>
        <w:t>年该项</w:t>
      </w:r>
      <w:r>
        <w:t>业务收入为</w:t>
      </w:r>
      <w:r>
        <w:t>332</w:t>
      </w:r>
      <w:r>
        <w:rPr>
          <w:rFonts w:hint="eastAsia"/>
        </w:rPr>
        <w:t>,</w:t>
      </w:r>
      <w:r>
        <w:t>190</w:t>
      </w:r>
      <w:r>
        <w:t>（元）</w:t>
      </w:r>
      <w:r>
        <w:rPr>
          <w:rFonts w:hint="eastAsia"/>
        </w:rPr>
        <w:t>。据</w:t>
      </w:r>
      <w:r>
        <w:t>Kynetec</w:t>
      </w:r>
      <w:r>
        <w:rPr>
          <w:rFonts w:hint="eastAsia"/>
        </w:rPr>
        <w:t>咨询公司的相关</w:t>
      </w:r>
      <w:r>
        <w:t>数据</w:t>
      </w:r>
      <w:r>
        <w:rPr>
          <w:rFonts w:hint="eastAsia"/>
          <w:lang w:eastAsia="zh-Hans"/>
        </w:rPr>
        <w:t>显示</w:t>
      </w:r>
      <w:r>
        <w:t>，</w:t>
      </w:r>
      <w:r>
        <w:rPr>
          <w:rFonts w:hint="eastAsia"/>
        </w:rPr>
        <w:t>2016-2020</w:t>
      </w:r>
      <w:r>
        <w:rPr>
          <w:rFonts w:hint="eastAsia"/>
        </w:rPr>
        <w:t>年，</w:t>
      </w:r>
      <w:r>
        <w:t>我国种业市场</w:t>
      </w:r>
      <w:r>
        <w:rPr>
          <w:rFonts w:hint="eastAsia"/>
        </w:rPr>
        <w:t>规模的</w:t>
      </w:r>
      <w:r>
        <w:t>年均复合增长率</w:t>
      </w:r>
      <w:r>
        <w:rPr>
          <w:rFonts w:hint="eastAsia"/>
        </w:rPr>
        <w:t>为</w:t>
      </w:r>
      <w:r>
        <w:t>2.3%</w:t>
      </w:r>
      <w:r>
        <w:rPr>
          <w:rFonts w:hint="eastAsia"/>
        </w:rPr>
        <w:t>，因此，预计未来该项业务营业收入年增长率为</w:t>
      </w:r>
      <w:r>
        <w:rPr>
          <w:rFonts w:hint="eastAsia"/>
        </w:rPr>
        <w:t>2.3</w:t>
      </w:r>
      <w:r>
        <w:t>%</w:t>
      </w:r>
      <w:r>
        <w:rPr>
          <w:rFonts w:hint="eastAsia"/>
        </w:rPr>
        <w:t>。（数据来源：</w:t>
      </w:r>
      <w:r>
        <w:t>Kynetec</w:t>
      </w:r>
      <w:r>
        <w:t>、中</w:t>
      </w:r>
      <w:proofErr w:type="gramStart"/>
      <w:r>
        <w:t>商产业</w:t>
      </w:r>
      <w:proofErr w:type="gramEnd"/>
      <w:r>
        <w:t>研究院整理</w:t>
      </w:r>
      <w:r>
        <w:rPr>
          <w:rFonts w:hint="eastAsia"/>
        </w:rPr>
        <w:t>）</w:t>
      </w:r>
    </w:p>
    <w:p w14:paraId="0C55548A" w14:textId="77777777" w:rsidR="00AE12E1" w:rsidRDefault="00B80973">
      <w:pPr>
        <w:ind w:firstLineChars="200" w:firstLine="420"/>
      </w:pPr>
      <w:r>
        <w:rPr>
          <w:rFonts w:hint="eastAsia"/>
        </w:rPr>
        <w:t xml:space="preserve"> </w:t>
      </w:r>
      <w:r>
        <w:rPr>
          <w:rFonts w:hint="eastAsia"/>
        </w:rPr>
        <w:t>“</w:t>
      </w:r>
      <w:r>
        <w:rPr>
          <w:rFonts w:ascii="等线" w:eastAsia="等线" w:hAnsi="等线" w:cs="宋体" w:hint="eastAsia"/>
          <w:color w:val="000000"/>
          <w:kern w:val="0"/>
          <w:szCs w:val="21"/>
        </w:rPr>
        <w:t>文娱收入</w:t>
      </w:r>
      <w:r>
        <w:rPr>
          <w:rFonts w:hint="eastAsia"/>
        </w:rPr>
        <w:t>”一项是团队成员通过电话咨询、线下走访等方式，通过对标市场价格以及预测市场情况得到的植物数字艺术馆门票、会员费</w:t>
      </w:r>
      <w:r>
        <w:rPr>
          <w:rFonts w:hint="eastAsia"/>
          <w:lang w:eastAsia="zh-Hans"/>
        </w:rPr>
        <w:t>等</w:t>
      </w:r>
      <w:r>
        <w:rPr>
          <w:rFonts w:hint="eastAsia"/>
        </w:rPr>
        <w:t>相关数据。假设本公司旗下植物数字艺术馆每</w:t>
      </w:r>
      <w:r>
        <w:t>2</w:t>
      </w:r>
      <w:r>
        <w:rPr>
          <w:rFonts w:hint="eastAsia"/>
        </w:rPr>
        <w:t>年举行</w:t>
      </w:r>
      <w:r>
        <w:rPr>
          <w:rFonts w:hint="eastAsia"/>
        </w:rPr>
        <w:t>1</w:t>
      </w:r>
      <w:r>
        <w:rPr>
          <w:rFonts w:hint="eastAsia"/>
        </w:rPr>
        <w:t>次大型活动</w:t>
      </w:r>
      <w:r>
        <w:t>，每次有</w:t>
      </w:r>
      <w:r>
        <w:t>3</w:t>
      </w:r>
      <w:r>
        <w:rPr>
          <w:rFonts w:hint="eastAsia"/>
        </w:rPr>
        <w:t>0</w:t>
      </w:r>
      <w:r>
        <w:t>个团体预订场地，</w:t>
      </w:r>
      <w:r>
        <w:rPr>
          <w:rFonts w:hint="eastAsia"/>
        </w:rPr>
        <w:t>每个团体有</w:t>
      </w:r>
      <w:r>
        <w:rPr>
          <w:rFonts w:hint="eastAsia"/>
        </w:rPr>
        <w:t>100</w:t>
      </w:r>
      <w:r>
        <w:rPr>
          <w:rFonts w:hint="eastAsia"/>
        </w:rPr>
        <w:t>人，</w:t>
      </w:r>
      <w:r>
        <w:t>收取费用</w:t>
      </w:r>
      <w:r>
        <w:t>30</w:t>
      </w:r>
      <w:r>
        <w:rPr>
          <w:rFonts w:hint="eastAsia"/>
          <w:lang w:eastAsia="zh-Hans"/>
        </w:rPr>
        <w:t>元</w:t>
      </w:r>
      <w:r>
        <w:t>/</w:t>
      </w:r>
      <w:r>
        <w:t>小时</w:t>
      </w:r>
      <w:r>
        <w:t>/</w:t>
      </w:r>
      <w:r>
        <w:t>人，预计花费时间</w:t>
      </w:r>
      <w:r>
        <w:t>2</w:t>
      </w:r>
      <w:r>
        <w:t>小时。因此，预计</w:t>
      </w:r>
      <w:r>
        <w:rPr>
          <w:rFonts w:hint="eastAsia"/>
        </w:rPr>
        <w:t>2022</w:t>
      </w:r>
      <w:r>
        <w:rPr>
          <w:rFonts w:hint="eastAsia"/>
        </w:rPr>
        <w:t>年</w:t>
      </w:r>
      <w:r>
        <w:t>其他业务收入为</w:t>
      </w:r>
      <w:r>
        <w:t>30*3,</w:t>
      </w:r>
      <w:r>
        <w:rPr>
          <w:rFonts w:hint="eastAsia"/>
        </w:rPr>
        <w:t>00</w:t>
      </w:r>
      <w:r>
        <w:t>0*2/2=90,0</w:t>
      </w:r>
      <w:r>
        <w:rPr>
          <w:rFonts w:hint="eastAsia"/>
        </w:rPr>
        <w:t>00</w:t>
      </w:r>
      <w:r>
        <w:t>（元）</w:t>
      </w:r>
      <w:r>
        <w:rPr>
          <w:rFonts w:hint="eastAsia"/>
        </w:rPr>
        <w:t>。</w:t>
      </w:r>
      <w:r>
        <w:rPr>
          <w:rFonts w:hint="eastAsia"/>
          <w:lang w:eastAsia="zh-Hans"/>
        </w:rPr>
        <w:t>假设该项业务规模前五年不变，第五年之后翻番并保持稳定，即</w:t>
      </w:r>
      <w:r>
        <w:rPr>
          <w:rFonts w:hint="eastAsia"/>
        </w:rPr>
        <w:t>2022</w:t>
      </w:r>
      <w:r>
        <w:rPr>
          <w:rFonts w:hint="eastAsia"/>
          <w:lang w:eastAsia="zh-Hans"/>
        </w:rPr>
        <w:t>年</w:t>
      </w:r>
      <w:r>
        <w:rPr>
          <w:rFonts w:hint="eastAsia"/>
        </w:rPr>
        <w:t>-2026</w:t>
      </w:r>
      <w:r>
        <w:rPr>
          <w:rFonts w:hint="eastAsia"/>
          <w:lang w:eastAsia="zh-Hans"/>
        </w:rPr>
        <w:t>年，该项业务收入为</w:t>
      </w:r>
      <w:r>
        <w:rPr>
          <w:rFonts w:hint="eastAsia"/>
        </w:rPr>
        <w:t>90000</w:t>
      </w:r>
      <w:r>
        <w:rPr>
          <w:rFonts w:hint="eastAsia"/>
          <w:lang w:eastAsia="zh-Hans"/>
        </w:rPr>
        <w:t>元；</w:t>
      </w:r>
      <w:r>
        <w:rPr>
          <w:rFonts w:hint="eastAsia"/>
        </w:rPr>
        <w:t>2027</w:t>
      </w:r>
      <w:r>
        <w:rPr>
          <w:rFonts w:hint="eastAsia"/>
        </w:rPr>
        <w:t>年</w:t>
      </w:r>
      <w:r>
        <w:rPr>
          <w:rFonts w:hint="eastAsia"/>
        </w:rPr>
        <w:t>-2032</w:t>
      </w:r>
      <w:r>
        <w:rPr>
          <w:rFonts w:hint="eastAsia"/>
        </w:rPr>
        <w:t>年，该项业务收入上升</w:t>
      </w:r>
      <w:r>
        <w:rPr>
          <w:rFonts w:ascii="Segoe UI Symbol" w:hAnsi="Segoe UI Symbol" w:cs="Segoe UI Symbol" w:hint="eastAsia"/>
        </w:rPr>
        <w:t>至</w:t>
      </w:r>
      <w:r>
        <w:rPr>
          <w:rFonts w:hint="eastAsia"/>
        </w:rPr>
        <w:t>180,000</w:t>
      </w:r>
      <w:r>
        <w:rPr>
          <w:rFonts w:hint="eastAsia"/>
        </w:rPr>
        <w:t>元。</w:t>
      </w:r>
    </w:p>
    <w:p w14:paraId="4098E456" w14:textId="77777777" w:rsidR="00AE12E1" w:rsidRDefault="00B80973">
      <w:pPr>
        <w:ind w:firstLineChars="200" w:firstLine="420"/>
      </w:pPr>
      <w:r>
        <w:rPr>
          <w:rFonts w:hint="eastAsia"/>
        </w:rPr>
        <w:t>“</w:t>
      </w:r>
      <w:r>
        <w:rPr>
          <w:rFonts w:ascii="等线" w:eastAsia="等线" w:hAnsi="等线" w:cs="宋体" w:hint="eastAsia"/>
          <w:color w:val="000000"/>
          <w:kern w:val="0"/>
          <w:sz w:val="22"/>
        </w:rPr>
        <w:t>线上植物商店收入</w:t>
      </w:r>
      <w:r>
        <w:rPr>
          <w:rFonts w:hint="eastAsia"/>
        </w:rPr>
        <w:t>”一项相关数据由本公司</w:t>
      </w:r>
      <w:proofErr w:type="gramStart"/>
      <w:r>
        <w:rPr>
          <w:rFonts w:hint="eastAsia"/>
        </w:rPr>
        <w:t>团队元</w:t>
      </w:r>
      <w:proofErr w:type="gramEnd"/>
      <w:r>
        <w:rPr>
          <w:rFonts w:hint="eastAsia"/>
        </w:rPr>
        <w:t>宇宙业务负责人提供。假设每年能发行</w:t>
      </w:r>
      <w:r>
        <w:rPr>
          <w:rFonts w:hint="eastAsia"/>
        </w:rPr>
        <w:t>1</w:t>
      </w:r>
      <w:r>
        <w:t>0</w:t>
      </w:r>
      <w:r>
        <w:rPr>
          <w:rFonts w:hint="eastAsia"/>
        </w:rPr>
        <w:t>款数字藏品，份数为</w:t>
      </w:r>
      <w:r>
        <w:rPr>
          <w:rFonts w:hint="eastAsia"/>
        </w:rPr>
        <w:t>50</w:t>
      </w:r>
      <w:r>
        <w:t>0</w:t>
      </w:r>
      <w:r>
        <w:rPr>
          <w:rFonts w:hint="eastAsia"/>
        </w:rPr>
        <w:t>份，单位价格为</w:t>
      </w:r>
      <w:r>
        <w:rPr>
          <w:rFonts w:hint="eastAsia"/>
        </w:rPr>
        <w:t>30</w:t>
      </w:r>
      <w:r>
        <w:rPr>
          <w:rFonts w:hint="eastAsia"/>
        </w:rPr>
        <w:t>元</w:t>
      </w:r>
      <w:r>
        <w:rPr>
          <w:rFonts w:hint="eastAsia"/>
        </w:rPr>
        <w:t>/</w:t>
      </w:r>
      <w:r>
        <w:rPr>
          <w:rFonts w:hint="eastAsia"/>
        </w:rPr>
        <w:t>份，根据同行业企业规模对标本企业按比例进行推算，售卖数字藏品的年收入为</w:t>
      </w:r>
      <w:r>
        <w:rPr>
          <w:rFonts w:hint="eastAsia"/>
        </w:rPr>
        <w:t>666</w:t>
      </w:r>
      <w:r>
        <w:t>,</w:t>
      </w:r>
      <w:r>
        <w:rPr>
          <w:rFonts w:hint="eastAsia"/>
        </w:rPr>
        <w:t>7</w:t>
      </w:r>
      <w:r>
        <w:t>00</w:t>
      </w:r>
      <w:r>
        <w:rPr>
          <w:rFonts w:hint="eastAsia"/>
        </w:rPr>
        <w:t>元。另外，据</w:t>
      </w:r>
      <w:r>
        <w:t>市场研究公司</w:t>
      </w:r>
      <w:r>
        <w:t>Grand View research</w:t>
      </w:r>
      <w:r>
        <w:t>预测，</w:t>
      </w:r>
      <w:r>
        <w:t>2021</w:t>
      </w:r>
      <w:r>
        <w:t>年至</w:t>
      </w:r>
      <w:r>
        <w:t>2030</w:t>
      </w:r>
      <w:r>
        <w:t>年，</w:t>
      </w:r>
      <w:proofErr w:type="gramStart"/>
      <w:r>
        <w:t>全球元</w:t>
      </w:r>
      <w:proofErr w:type="gramEnd"/>
      <w:r>
        <w:t>宇宙市场的规模将从</w:t>
      </w:r>
      <w:r>
        <w:t>388.5</w:t>
      </w:r>
      <w:r>
        <w:t>亿美元增长到</w:t>
      </w:r>
      <w:r>
        <w:t>6788</w:t>
      </w:r>
      <w:r>
        <w:t>亿美元，复合年增长率将达到</w:t>
      </w:r>
      <w:r>
        <w:t>39.4</w:t>
      </w:r>
      <w:r>
        <w:rPr>
          <w:rFonts w:hint="eastAsia"/>
        </w:rPr>
        <w:t>0</w:t>
      </w:r>
      <w:r>
        <w:t>%</w:t>
      </w:r>
      <w:r>
        <w:t>。</w:t>
      </w:r>
      <w:r>
        <w:rPr>
          <w:rFonts w:hint="eastAsia"/>
        </w:rPr>
        <w:t>因此，预计未来该项业务营业收入年增长率为</w:t>
      </w:r>
      <w:r>
        <w:t>39.4</w:t>
      </w:r>
      <w:r>
        <w:rPr>
          <w:rFonts w:hint="eastAsia"/>
        </w:rPr>
        <w:t>0</w:t>
      </w:r>
      <w:r>
        <w:t>%</w:t>
      </w:r>
      <w:r>
        <w:rPr>
          <w:rFonts w:hint="eastAsia"/>
        </w:rPr>
        <w:t>。</w:t>
      </w:r>
    </w:p>
    <w:p w14:paraId="447C858B" w14:textId="77777777" w:rsidR="00AE12E1" w:rsidRDefault="00B80973">
      <w:pPr>
        <w:rPr>
          <w:b/>
          <w:bCs/>
        </w:rPr>
      </w:pPr>
      <w:r>
        <w:rPr>
          <w:rFonts w:hint="eastAsia"/>
          <w:b/>
          <w:bCs/>
        </w:rPr>
        <w:t>1.3.2</w:t>
      </w:r>
      <w:r>
        <w:rPr>
          <w:b/>
          <w:bCs/>
        </w:rPr>
        <w:t xml:space="preserve"> </w:t>
      </w:r>
      <w:r>
        <w:rPr>
          <w:rFonts w:hint="eastAsia"/>
          <w:b/>
          <w:bCs/>
        </w:rPr>
        <w:t>营业成本</w:t>
      </w:r>
    </w:p>
    <w:p w14:paraId="781BF837" w14:textId="77777777" w:rsidR="00AE12E1" w:rsidRDefault="00B80973">
      <w:pPr>
        <w:ind w:firstLineChars="200" w:firstLine="420"/>
      </w:pPr>
      <w:r>
        <w:rPr>
          <w:rFonts w:hint="eastAsia"/>
        </w:rPr>
        <w:t>其中，“</w:t>
      </w:r>
      <w:r>
        <w:rPr>
          <w:rFonts w:ascii="等线" w:eastAsia="等线" w:hAnsi="等线" w:cs="宋体" w:hint="eastAsia"/>
          <w:color w:val="000000"/>
          <w:kern w:val="0"/>
          <w:sz w:val="22"/>
        </w:rPr>
        <w:t>商家入驻成本</w:t>
      </w:r>
      <w:r>
        <w:rPr>
          <w:rFonts w:hint="eastAsia"/>
        </w:rPr>
        <w:t>”一项，根据报销</w:t>
      </w:r>
      <w:proofErr w:type="gramStart"/>
      <w:r>
        <w:rPr>
          <w:rFonts w:hint="eastAsia"/>
        </w:rPr>
        <w:t>单相关</w:t>
      </w:r>
      <w:proofErr w:type="gramEnd"/>
      <w:r>
        <w:rPr>
          <w:rFonts w:hint="eastAsia"/>
        </w:rPr>
        <w:t>数据，</w:t>
      </w:r>
      <w:r>
        <w:t>预计</w:t>
      </w:r>
      <w:r>
        <w:rPr>
          <w:rFonts w:hint="eastAsia"/>
        </w:rPr>
        <w:t>2022</w:t>
      </w:r>
      <w:r>
        <w:rPr>
          <w:rFonts w:hint="eastAsia"/>
        </w:rPr>
        <w:t>年该项业务</w:t>
      </w:r>
      <w:r>
        <w:t>营业成本为</w:t>
      </w:r>
      <w:r>
        <w:lastRenderedPageBreak/>
        <w:t>294,210</w:t>
      </w:r>
      <w:r>
        <w:t>（元）</w:t>
      </w:r>
      <w:r>
        <w:rPr>
          <w:rFonts w:hint="eastAsia"/>
        </w:rPr>
        <w:t>；其次，根据该项业务营业收入增长率为</w:t>
      </w:r>
      <w:r>
        <w:rPr>
          <w:rFonts w:hint="eastAsia"/>
        </w:rPr>
        <w:t>2.30%</w:t>
      </w:r>
      <w:r>
        <w:rPr>
          <w:rFonts w:hint="eastAsia"/>
        </w:rPr>
        <w:t>，因此，预计未来该项业务营业收入年增长率为</w:t>
      </w:r>
      <w:r>
        <w:rPr>
          <w:rFonts w:hint="eastAsia"/>
        </w:rPr>
        <w:t>2.30</w:t>
      </w:r>
      <w:r>
        <w:t>%</w:t>
      </w:r>
      <w:r>
        <w:rPr>
          <w:rFonts w:hint="eastAsia"/>
        </w:rPr>
        <w:t>。另外，根据折旧年限假设，本公司将每</w:t>
      </w:r>
      <w:r>
        <w:rPr>
          <w:rFonts w:hint="eastAsia"/>
        </w:rPr>
        <w:t>3</w:t>
      </w:r>
      <w:r>
        <w:rPr>
          <w:rFonts w:hint="eastAsia"/>
        </w:rPr>
        <w:t>年重新购置一次长期资产，长期资产购置</w:t>
      </w:r>
      <w:r>
        <w:t>成本为</w:t>
      </w:r>
      <w:r>
        <w:t>300,0</w:t>
      </w:r>
      <w:r>
        <w:rPr>
          <w:rFonts w:hint="eastAsia"/>
        </w:rPr>
        <w:t>00</w:t>
      </w:r>
      <w:r>
        <w:t>元，</w:t>
      </w:r>
      <w:r>
        <w:rPr>
          <w:rFonts w:hint="eastAsia"/>
        </w:rPr>
        <w:t>且未来该项支出规模不变，因此，预计</w:t>
      </w:r>
      <w:r>
        <w:rPr>
          <w:rFonts w:hint="eastAsia"/>
        </w:rPr>
        <w:t>2022</w:t>
      </w:r>
      <w:r>
        <w:rPr>
          <w:rFonts w:hint="eastAsia"/>
        </w:rPr>
        <w:t>、</w:t>
      </w:r>
      <w:r>
        <w:rPr>
          <w:rFonts w:hint="eastAsia"/>
        </w:rPr>
        <w:t>2025</w:t>
      </w:r>
      <w:r>
        <w:rPr>
          <w:rFonts w:hint="eastAsia"/>
        </w:rPr>
        <w:t>、</w:t>
      </w:r>
      <w:r>
        <w:rPr>
          <w:rFonts w:hint="eastAsia"/>
        </w:rPr>
        <w:t>2028</w:t>
      </w:r>
      <w:r>
        <w:rPr>
          <w:rFonts w:hint="eastAsia"/>
        </w:rPr>
        <w:t>、</w:t>
      </w:r>
      <w:r>
        <w:rPr>
          <w:rFonts w:hint="eastAsia"/>
        </w:rPr>
        <w:t>2031</w:t>
      </w:r>
      <w:r>
        <w:rPr>
          <w:rFonts w:hint="eastAsia"/>
        </w:rPr>
        <w:t>年的营业成本应额外加上该项；“</w:t>
      </w:r>
      <w:r>
        <w:rPr>
          <w:rFonts w:ascii="等线" w:eastAsia="等线" w:hAnsi="等线" w:cs="宋体" w:hint="eastAsia"/>
          <w:color w:val="000000"/>
          <w:kern w:val="0"/>
          <w:szCs w:val="21"/>
        </w:rPr>
        <w:t>文娱成本</w:t>
      </w:r>
      <w:r>
        <w:rPr>
          <w:rFonts w:hint="eastAsia"/>
        </w:rPr>
        <w:t>”一项是将该项与“</w:t>
      </w:r>
      <w:r>
        <w:rPr>
          <w:rFonts w:ascii="等线" w:eastAsia="等线" w:hAnsi="等线" w:cs="宋体" w:hint="eastAsia"/>
          <w:color w:val="000000"/>
          <w:kern w:val="0"/>
          <w:sz w:val="22"/>
        </w:rPr>
        <w:t>商家入驻成本</w:t>
      </w:r>
      <w:r>
        <w:rPr>
          <w:rFonts w:hint="eastAsia"/>
        </w:rPr>
        <w:t>”按照其</w:t>
      </w:r>
      <w:r>
        <w:rPr>
          <w:rFonts w:hint="eastAsia"/>
        </w:rPr>
        <w:t>2022</w:t>
      </w:r>
      <w:r>
        <w:rPr>
          <w:rFonts w:hint="eastAsia"/>
        </w:rPr>
        <w:t>年规模的比例（</w:t>
      </w:r>
      <w:r>
        <w:rPr>
          <w:rFonts w:hint="eastAsia"/>
        </w:rPr>
        <w:t>79%</w:t>
      </w:r>
      <w:r>
        <w:rPr>
          <w:rFonts w:hint="eastAsia"/>
        </w:rPr>
        <w:t>：</w:t>
      </w:r>
      <w:r>
        <w:rPr>
          <w:rFonts w:hint="eastAsia"/>
        </w:rPr>
        <w:t>21%=3</w:t>
      </w:r>
      <w:r>
        <w:rPr>
          <w:rFonts w:hint="eastAsia"/>
        </w:rPr>
        <w:t>.7</w:t>
      </w:r>
      <w:r>
        <w:rPr>
          <w:rFonts w:hint="eastAsia"/>
        </w:rPr>
        <w:t>：</w:t>
      </w:r>
      <w:r>
        <w:rPr>
          <w:rFonts w:hint="eastAsia"/>
        </w:rPr>
        <w:t>1</w:t>
      </w:r>
      <w:r>
        <w:rPr>
          <w:rFonts w:hint="eastAsia"/>
        </w:rPr>
        <w:t>）进行分配</w:t>
      </w:r>
      <w:r>
        <w:rPr>
          <w:rFonts w:hint="eastAsia"/>
          <w:lang w:eastAsia="zh-Hans"/>
        </w:rPr>
        <w:t>所得</w:t>
      </w:r>
      <w:r>
        <w:rPr>
          <w:rFonts w:hint="eastAsia"/>
        </w:rPr>
        <w:t>；“</w:t>
      </w:r>
      <w:r>
        <w:rPr>
          <w:rFonts w:ascii="等线" w:eastAsia="等线" w:hAnsi="等线" w:cs="宋体" w:hint="eastAsia"/>
          <w:color w:val="000000"/>
          <w:kern w:val="0"/>
          <w:sz w:val="22"/>
        </w:rPr>
        <w:t>线上植物商店成本</w:t>
      </w:r>
      <w:r>
        <w:rPr>
          <w:rFonts w:hint="eastAsia"/>
        </w:rPr>
        <w:t>”一项的成本</w:t>
      </w:r>
      <w:r>
        <w:rPr>
          <w:rFonts w:hint="eastAsia"/>
          <w:lang w:eastAsia="zh-Hans"/>
        </w:rPr>
        <w:t>拟定</w:t>
      </w:r>
      <w:r>
        <w:rPr>
          <w:rFonts w:hint="eastAsia"/>
        </w:rPr>
        <w:t>为其营业收入的</w:t>
      </w:r>
      <w:r>
        <w:rPr>
          <w:rFonts w:hint="eastAsia"/>
        </w:rPr>
        <w:t>50</w:t>
      </w:r>
      <w:r>
        <w:t>%</w:t>
      </w:r>
      <w:r>
        <w:rPr>
          <w:rFonts w:hint="eastAsia"/>
        </w:rPr>
        <w:t>。</w:t>
      </w:r>
    </w:p>
    <w:p w14:paraId="640E4433" w14:textId="77777777" w:rsidR="00AE12E1" w:rsidRDefault="00B80973">
      <w:pPr>
        <w:rPr>
          <w:b/>
          <w:bCs/>
        </w:rPr>
      </w:pPr>
      <w:r>
        <w:rPr>
          <w:rFonts w:hint="eastAsia"/>
          <w:b/>
          <w:bCs/>
        </w:rPr>
        <w:t>1.3.3</w:t>
      </w:r>
      <w:r>
        <w:rPr>
          <w:b/>
          <w:bCs/>
        </w:rPr>
        <w:t xml:space="preserve"> </w:t>
      </w:r>
      <w:r>
        <w:rPr>
          <w:rFonts w:hint="eastAsia"/>
          <w:b/>
          <w:bCs/>
        </w:rPr>
        <w:t>销售费用</w:t>
      </w:r>
    </w:p>
    <w:p w14:paraId="125B39DD" w14:textId="77777777" w:rsidR="00AE12E1" w:rsidRDefault="00B80973">
      <w:pPr>
        <w:ind w:firstLineChars="200" w:firstLine="420"/>
      </w:pPr>
      <w:r>
        <w:rPr>
          <w:rFonts w:hint="eastAsia"/>
        </w:rPr>
        <w:t>“销售人员工资”一项，假设植物商店、植物王国艺术馆等线下门店共计雇佣</w:t>
      </w:r>
      <w:r>
        <w:rPr>
          <w:rFonts w:hint="eastAsia"/>
        </w:rPr>
        <w:t>10</w:t>
      </w:r>
      <w:r>
        <w:t>名兼职人员，</w:t>
      </w:r>
      <w:r>
        <w:rPr>
          <w:rFonts w:hint="eastAsia"/>
        </w:rPr>
        <w:t>每周有双休</w:t>
      </w:r>
      <w:r>
        <w:t>，工资为</w:t>
      </w:r>
      <w:r>
        <w:rPr>
          <w:rFonts w:hint="eastAsia"/>
        </w:rPr>
        <w:t>12</w:t>
      </w:r>
      <w:r>
        <w:t>元</w:t>
      </w:r>
      <w:r>
        <w:t>/</w:t>
      </w:r>
      <w:r>
        <w:t>小时，每</w:t>
      </w:r>
      <w:r>
        <w:rPr>
          <w:rFonts w:hint="eastAsia"/>
        </w:rPr>
        <w:t>年</w:t>
      </w:r>
      <w:r>
        <w:t>工作</w:t>
      </w:r>
      <w:r>
        <w:rPr>
          <w:rFonts w:hint="eastAsia"/>
        </w:rPr>
        <w:t>1550</w:t>
      </w:r>
      <w:r>
        <w:t>小时，因此，预计</w:t>
      </w:r>
      <w:r>
        <w:rPr>
          <w:rFonts w:hint="eastAsia"/>
        </w:rPr>
        <w:t>2022</w:t>
      </w:r>
      <w:r>
        <w:rPr>
          <w:rFonts w:hint="eastAsia"/>
        </w:rPr>
        <w:t>年</w:t>
      </w:r>
      <w:r>
        <w:t>销售人员工资为</w:t>
      </w:r>
      <w:r>
        <w:rPr>
          <w:rFonts w:hint="eastAsia"/>
        </w:rPr>
        <w:t>10*12</w:t>
      </w:r>
      <w:r>
        <w:t>*</w:t>
      </w:r>
      <w:r>
        <w:rPr>
          <w:rFonts w:hint="eastAsia"/>
        </w:rPr>
        <w:t>1550</w:t>
      </w:r>
      <w:r>
        <w:t>=186,0</w:t>
      </w:r>
      <w:r>
        <w:rPr>
          <w:rFonts w:hint="eastAsia"/>
        </w:rPr>
        <w:t>00</w:t>
      </w:r>
      <w:r>
        <w:t>（元）</w:t>
      </w:r>
      <w:r>
        <w:rPr>
          <w:rFonts w:hint="eastAsia"/>
        </w:rPr>
        <w:t>。另外，根据公司未来发展规划，线下店铺</w:t>
      </w:r>
      <w:r>
        <w:t>员工数每年增加</w:t>
      </w:r>
      <w:r>
        <w:rPr>
          <w:rFonts w:hint="eastAsia"/>
        </w:rPr>
        <w:t>10%</w:t>
      </w:r>
      <w:r>
        <w:rPr>
          <w:rFonts w:hint="eastAsia"/>
        </w:rPr>
        <w:t>，再假设每位人员的工资在这十年内都没有上升或下降的变化，因此，未来十年该项费用的年增长率为</w:t>
      </w:r>
      <w:r>
        <w:rPr>
          <w:rFonts w:hint="eastAsia"/>
        </w:rPr>
        <w:t>10%</w:t>
      </w:r>
      <w:r>
        <w:rPr>
          <w:rFonts w:hint="eastAsia"/>
        </w:rPr>
        <w:t>。；“展览宣传费”一项，根据报销单，</w:t>
      </w:r>
      <w:proofErr w:type="gramStart"/>
      <w:r>
        <w:rPr>
          <w:rFonts w:hint="eastAsia"/>
        </w:rPr>
        <w:t>取购买</w:t>
      </w:r>
      <w:proofErr w:type="gramEnd"/>
      <w:r>
        <w:rPr>
          <w:rFonts w:hint="eastAsia"/>
        </w:rPr>
        <w:t>黑板、</w:t>
      </w:r>
      <w:r>
        <w:t>kt</w:t>
      </w:r>
      <w:r>
        <w:t>展示板等的费用</w:t>
      </w:r>
      <w:r>
        <w:rPr>
          <w:rFonts w:hint="eastAsia"/>
        </w:rPr>
        <w:t>作为展览宣传费用，由于本项目采取线上线下结合宣传的方式，且以线上为主，成本较低，因此，假设该项费用未来十年保持不变；“长期资产折旧”一项，假设所有长期资产的使用年限均为</w:t>
      </w:r>
      <w:r>
        <w:rPr>
          <w:rFonts w:hint="eastAsia"/>
        </w:rPr>
        <w:t>3</w:t>
      </w:r>
      <w:r>
        <w:t>年，因此，</w:t>
      </w:r>
      <w:r>
        <w:rPr>
          <w:rFonts w:hint="eastAsia"/>
        </w:rPr>
        <w:t>这十年的</w:t>
      </w:r>
      <w:r>
        <w:t>长期资产摊销</w:t>
      </w:r>
      <w:r>
        <w:rPr>
          <w:rFonts w:hint="eastAsia"/>
        </w:rPr>
        <w:t>均</w:t>
      </w:r>
      <w:r>
        <w:t>为</w:t>
      </w:r>
      <w:r>
        <w:t>300,0</w:t>
      </w:r>
      <w:r>
        <w:rPr>
          <w:rFonts w:hint="eastAsia"/>
        </w:rPr>
        <w:t>00</w:t>
      </w:r>
      <w:r>
        <w:t>/</w:t>
      </w:r>
      <w:r>
        <w:rPr>
          <w:rFonts w:hint="eastAsia"/>
        </w:rPr>
        <w:t>3</w:t>
      </w:r>
      <w:r>
        <w:t>=</w:t>
      </w:r>
      <w:r>
        <w:rPr>
          <w:rFonts w:hint="eastAsia"/>
        </w:rPr>
        <w:t>100</w:t>
      </w:r>
      <w:r>
        <w:t>,</w:t>
      </w:r>
      <w:r>
        <w:rPr>
          <w:rFonts w:hint="eastAsia"/>
        </w:rPr>
        <w:t>000</w:t>
      </w:r>
      <w:r>
        <w:t>（元）</w:t>
      </w:r>
      <w:r>
        <w:rPr>
          <w:rFonts w:hint="eastAsia"/>
        </w:rPr>
        <w:t>。</w:t>
      </w:r>
    </w:p>
    <w:p w14:paraId="50C784E3" w14:textId="77777777" w:rsidR="00AE12E1" w:rsidRDefault="00B80973">
      <w:pPr>
        <w:rPr>
          <w:b/>
          <w:bCs/>
        </w:rPr>
      </w:pPr>
      <w:r>
        <w:rPr>
          <w:rFonts w:hint="eastAsia"/>
          <w:b/>
          <w:bCs/>
        </w:rPr>
        <w:t>1.3.4</w:t>
      </w:r>
      <w:r>
        <w:rPr>
          <w:b/>
          <w:bCs/>
        </w:rPr>
        <w:t xml:space="preserve"> </w:t>
      </w:r>
      <w:r>
        <w:rPr>
          <w:rFonts w:hint="eastAsia"/>
          <w:b/>
          <w:bCs/>
        </w:rPr>
        <w:t>管理费用</w:t>
      </w:r>
    </w:p>
    <w:p w14:paraId="1141DBBF" w14:textId="77777777" w:rsidR="00AE12E1" w:rsidRDefault="00B80973">
      <w:pPr>
        <w:ind w:firstLineChars="200" w:firstLine="420"/>
      </w:pPr>
      <w:r>
        <w:t>“</w:t>
      </w:r>
      <w:r>
        <w:rPr>
          <w:rFonts w:hint="eastAsia"/>
        </w:rPr>
        <w:t>管理人员工资</w:t>
      </w:r>
      <w:r>
        <w:t>”</w:t>
      </w:r>
      <w:r>
        <w:rPr>
          <w:rFonts w:hint="eastAsia"/>
        </w:rPr>
        <w:t>一项，假设雇佣</w:t>
      </w:r>
      <w:r>
        <w:rPr>
          <w:rFonts w:hint="eastAsia"/>
        </w:rPr>
        <w:t>10</w:t>
      </w:r>
      <w:r>
        <w:t>名</w:t>
      </w:r>
      <w:r>
        <w:rPr>
          <w:rFonts w:hint="eastAsia"/>
        </w:rPr>
        <w:t>文</w:t>
      </w:r>
      <w:proofErr w:type="gramStart"/>
      <w:r>
        <w:rPr>
          <w:rFonts w:hint="eastAsia"/>
        </w:rPr>
        <w:t>创产品</w:t>
      </w:r>
      <w:proofErr w:type="gramEnd"/>
      <w:r>
        <w:rPr>
          <w:rFonts w:hint="eastAsia"/>
        </w:rPr>
        <w:t>设计师</w:t>
      </w:r>
      <w:r>
        <w:t>，采取合作形式，</w:t>
      </w:r>
      <w:r>
        <w:rPr>
          <w:rFonts w:hint="eastAsia"/>
        </w:rPr>
        <w:t>分成为营</w:t>
      </w:r>
      <w:r>
        <w:rPr>
          <w:rFonts w:hint="eastAsia"/>
        </w:rPr>
        <w:t>业收入的</w:t>
      </w:r>
      <w:r>
        <w:t>15%</w:t>
      </w:r>
      <w:r>
        <w:rPr>
          <w:rFonts w:hint="eastAsia"/>
        </w:rPr>
        <w:t>；“运费”一项，根据报销单数据，</w:t>
      </w:r>
      <w:r>
        <w:t>假设</w:t>
      </w:r>
      <w:r>
        <w:t>1</w:t>
      </w:r>
      <w:r>
        <w:rPr>
          <w:rFonts w:hint="eastAsia"/>
        </w:rPr>
        <w:t>年半</w:t>
      </w:r>
      <w:r>
        <w:t>能卖完现有存货</w:t>
      </w:r>
      <w:r>
        <w:rPr>
          <w:rFonts w:hint="eastAsia"/>
        </w:rPr>
        <w:t>；“低值易耗品摊销”一项，由于低值易耗品包括价格标签、记号笔、夹子等，根据报销单明细，且假设未来十年该项支出不变，因此，</w:t>
      </w:r>
      <w:r>
        <w:t>预计</w:t>
      </w:r>
      <w:r>
        <w:rPr>
          <w:rFonts w:hint="eastAsia"/>
        </w:rPr>
        <w:t>该项费用在未来十年内均</w:t>
      </w:r>
      <w:r>
        <w:t>为</w:t>
      </w:r>
      <w:r>
        <w:t>5,890</w:t>
      </w:r>
      <w:r>
        <w:t>（元）</w:t>
      </w:r>
      <w:r>
        <w:rPr>
          <w:rFonts w:hint="eastAsia"/>
        </w:rPr>
        <w:t>。</w:t>
      </w:r>
    </w:p>
    <w:p w14:paraId="2697FBB7" w14:textId="77777777" w:rsidR="00AE12E1" w:rsidRDefault="00B80973">
      <w:pPr>
        <w:rPr>
          <w:b/>
          <w:bCs/>
        </w:rPr>
      </w:pPr>
      <w:r>
        <w:rPr>
          <w:rFonts w:hint="eastAsia"/>
          <w:b/>
          <w:bCs/>
        </w:rPr>
        <w:t>1.3.5</w:t>
      </w:r>
      <w:r>
        <w:rPr>
          <w:b/>
          <w:bCs/>
        </w:rPr>
        <w:t xml:space="preserve"> </w:t>
      </w:r>
      <w:r>
        <w:rPr>
          <w:rFonts w:hint="eastAsia"/>
          <w:b/>
          <w:bCs/>
        </w:rPr>
        <w:t>营业外收入</w:t>
      </w:r>
    </w:p>
    <w:p w14:paraId="2FA06057" w14:textId="77777777" w:rsidR="00AE12E1" w:rsidRDefault="00B80973">
      <w:pPr>
        <w:ind w:firstLineChars="200" w:firstLine="420"/>
      </w:pPr>
      <w:r>
        <w:t>由于</w:t>
      </w:r>
      <w:r>
        <w:rPr>
          <w:rFonts w:hint="eastAsia"/>
        </w:rPr>
        <w:t>本公司参与松江印象城主办的</w:t>
      </w:r>
      <w:r>
        <w:t>创业比赛</w:t>
      </w:r>
      <w:r>
        <w:rPr>
          <w:rFonts w:hint="eastAsia"/>
        </w:rPr>
        <w:t>并获得一等奖，因此，获得奖金</w:t>
      </w:r>
      <w:r>
        <w:rPr>
          <w:rFonts w:hint="eastAsia"/>
        </w:rPr>
        <w:t>7000</w:t>
      </w:r>
      <w:r>
        <w:rPr>
          <w:rFonts w:hint="eastAsia"/>
        </w:rPr>
        <w:t>元，计入</w:t>
      </w:r>
      <w:r>
        <w:rPr>
          <w:rFonts w:hint="eastAsia"/>
        </w:rPr>
        <w:t>2022</w:t>
      </w:r>
      <w:r>
        <w:rPr>
          <w:rFonts w:hint="eastAsia"/>
        </w:rPr>
        <w:t>年的营业外收入。</w:t>
      </w:r>
    </w:p>
    <w:p w14:paraId="369CC0AC" w14:textId="77777777" w:rsidR="00AE12E1" w:rsidRDefault="00AE12E1">
      <w:pPr>
        <w:ind w:firstLineChars="200" w:firstLine="420"/>
      </w:pPr>
    </w:p>
    <w:p w14:paraId="369862DF" w14:textId="77777777" w:rsidR="00AE12E1" w:rsidRDefault="00B80973">
      <w:pPr>
        <w:rPr>
          <w:b/>
          <w:bCs/>
        </w:rPr>
      </w:pPr>
      <w:r>
        <w:rPr>
          <w:rFonts w:hint="eastAsia"/>
          <w:b/>
          <w:bCs/>
        </w:rPr>
        <w:t>1.4</w:t>
      </w:r>
      <w:r>
        <w:rPr>
          <w:b/>
          <w:bCs/>
        </w:rPr>
        <w:t xml:space="preserve"> </w:t>
      </w:r>
      <w:r>
        <w:rPr>
          <w:rFonts w:hint="eastAsia"/>
          <w:b/>
          <w:bCs/>
        </w:rPr>
        <w:t>预计利润表分析</w:t>
      </w:r>
    </w:p>
    <w:p w14:paraId="0F15DD6E" w14:textId="77777777" w:rsidR="00AE12E1" w:rsidRDefault="00B80973">
      <w:pPr>
        <w:rPr>
          <w:b/>
          <w:bCs/>
        </w:rPr>
      </w:pPr>
      <w:r>
        <w:rPr>
          <w:rFonts w:hint="eastAsia"/>
          <w:b/>
          <w:bCs/>
        </w:rPr>
        <w:t>1.4.1</w:t>
      </w:r>
      <w:r>
        <w:rPr>
          <w:b/>
          <w:bCs/>
        </w:rPr>
        <w:t xml:space="preserve"> </w:t>
      </w:r>
      <w:r>
        <w:rPr>
          <w:rFonts w:hint="eastAsia"/>
          <w:b/>
          <w:bCs/>
        </w:rPr>
        <w:t>营业收入构成</w:t>
      </w:r>
    </w:p>
    <w:p w14:paraId="54DC8553" w14:textId="77777777" w:rsidR="00AE12E1" w:rsidRDefault="00B80973">
      <w:pPr>
        <w:ind w:firstLineChars="200" w:firstLine="420"/>
      </w:pPr>
      <w:r>
        <w:rPr>
          <w:rFonts w:hint="eastAsia"/>
        </w:rPr>
        <w:t>总体来看，本公司营业收入由高到低排列的业务活动依次为线上植物商店收入、商家入驻收入、文娱收</w:t>
      </w:r>
      <w:r>
        <w:rPr>
          <w:rFonts w:hint="eastAsia"/>
        </w:rPr>
        <w:t>入。由此可见，本公司主</w:t>
      </w:r>
      <w:proofErr w:type="gramStart"/>
      <w:r>
        <w:rPr>
          <w:rFonts w:hint="eastAsia"/>
        </w:rPr>
        <w:t>打业务</w:t>
      </w:r>
      <w:proofErr w:type="gramEnd"/>
      <w:r>
        <w:rPr>
          <w:rFonts w:hint="eastAsia"/>
        </w:rPr>
        <w:t>为元宇宙植物商店的植物周边数字藏品销售、植物种子销售、茶叶销售等。本公司未来十年预计营业收入构成如下图所示：</w:t>
      </w:r>
    </w:p>
    <w:p w14:paraId="2AF39C1E" w14:textId="77777777" w:rsidR="00AE12E1" w:rsidRDefault="00B80973">
      <w:pPr>
        <w:ind w:firstLineChars="200" w:firstLine="420"/>
        <w:jc w:val="center"/>
      </w:pPr>
      <w:r>
        <w:rPr>
          <w:noProof/>
        </w:rPr>
        <w:lastRenderedPageBreak/>
        <w:drawing>
          <wp:inline distT="0" distB="0" distL="0" distR="0" wp14:anchorId="0700CF51" wp14:editId="451DFA77">
            <wp:extent cx="4572000" cy="3096260"/>
            <wp:effectExtent l="0" t="0" r="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B8F201" w14:textId="77777777" w:rsidR="00AE12E1" w:rsidRDefault="00B80973">
      <w:pPr>
        <w:jc w:val="center"/>
        <w:rPr>
          <w:sz w:val="18"/>
          <w:szCs w:val="18"/>
        </w:rPr>
      </w:pPr>
      <w:r>
        <w:rPr>
          <w:rFonts w:hint="eastAsia"/>
          <w:sz w:val="18"/>
          <w:szCs w:val="18"/>
        </w:rPr>
        <w:t>图</w:t>
      </w:r>
      <w:r>
        <w:rPr>
          <w:rFonts w:hint="eastAsia"/>
          <w:sz w:val="18"/>
          <w:szCs w:val="18"/>
        </w:rPr>
        <w:t>4</w:t>
      </w:r>
      <w:r>
        <w:rPr>
          <w:sz w:val="18"/>
          <w:szCs w:val="18"/>
        </w:rPr>
        <w:t xml:space="preserve"> </w:t>
      </w:r>
      <w:r>
        <w:rPr>
          <w:rFonts w:hint="eastAsia"/>
          <w:sz w:val="18"/>
          <w:szCs w:val="18"/>
        </w:rPr>
        <w:t>本公司未来十年预计营业收入构成</w:t>
      </w:r>
    </w:p>
    <w:p w14:paraId="7828F8A9" w14:textId="77777777" w:rsidR="00AE12E1" w:rsidRDefault="00B80973">
      <w:pPr>
        <w:ind w:firstLineChars="200" w:firstLine="420"/>
      </w:pPr>
      <w:r>
        <w:rPr>
          <w:rFonts w:hint="eastAsia"/>
        </w:rPr>
        <w:t>其中，关于“线上植物商店收入”中的“植物种子销售”一项，销售数量由高到低排列的产品依次为观赏型植物种子、食用型植物种子、其他种子。由此可见，观赏型植物种子受到消费者的青睐，因此可以将该产品作为未来植物种子销售业务的主要发力点。</w:t>
      </w:r>
    </w:p>
    <w:p w14:paraId="56D8659A" w14:textId="77777777" w:rsidR="00AE12E1" w:rsidRDefault="00B80973">
      <w:pPr>
        <w:jc w:val="center"/>
        <w:rPr>
          <w:b/>
          <w:bCs/>
        </w:rPr>
      </w:pPr>
      <w:r>
        <w:rPr>
          <w:noProof/>
        </w:rPr>
        <w:drawing>
          <wp:inline distT="0" distB="0" distL="0" distR="0" wp14:anchorId="2A1E8F3C" wp14:editId="7169A8C4">
            <wp:extent cx="4571365" cy="2743200"/>
            <wp:effectExtent l="0" t="0" r="635"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14:paraId="46BEA8AD" w14:textId="77777777" w:rsidR="00AE12E1" w:rsidRDefault="00B80973">
      <w:pPr>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植物种子销售量构成</w:t>
      </w:r>
    </w:p>
    <w:p w14:paraId="1B59C59F" w14:textId="77777777" w:rsidR="00AE12E1" w:rsidRDefault="00AE12E1">
      <w:pPr>
        <w:rPr>
          <w:b/>
          <w:bCs/>
        </w:rPr>
      </w:pPr>
    </w:p>
    <w:p w14:paraId="5DFF3742" w14:textId="77777777" w:rsidR="00AE12E1" w:rsidRDefault="00B80973">
      <w:pPr>
        <w:rPr>
          <w:b/>
          <w:bCs/>
        </w:rPr>
      </w:pPr>
      <w:r>
        <w:rPr>
          <w:rFonts w:hint="eastAsia"/>
          <w:b/>
          <w:bCs/>
        </w:rPr>
        <w:t>1.4.2</w:t>
      </w:r>
      <w:r>
        <w:rPr>
          <w:b/>
          <w:bCs/>
        </w:rPr>
        <w:t xml:space="preserve"> </w:t>
      </w:r>
      <w:r>
        <w:rPr>
          <w:rFonts w:hint="eastAsia"/>
          <w:b/>
          <w:bCs/>
        </w:rPr>
        <w:t>营业成本构成</w:t>
      </w:r>
    </w:p>
    <w:p w14:paraId="22F7B84B" w14:textId="71031B2E" w:rsidR="00AE12E1" w:rsidRDefault="00B80973">
      <w:pPr>
        <w:ind w:firstLineChars="200" w:firstLine="420"/>
      </w:pPr>
      <w:r>
        <w:rPr>
          <w:rFonts w:hint="eastAsia"/>
        </w:rPr>
        <w:t>总体来看，本公司</w:t>
      </w:r>
      <w:r>
        <w:rPr>
          <w:rFonts w:hint="eastAsia"/>
        </w:rPr>
        <w:t>2022-2025</w:t>
      </w:r>
      <w:r>
        <w:rPr>
          <w:rFonts w:hint="eastAsia"/>
        </w:rPr>
        <w:t>年预计营业成本</w:t>
      </w:r>
      <w:proofErr w:type="gramStart"/>
      <w:r>
        <w:rPr>
          <w:rFonts w:hint="eastAsia"/>
        </w:rPr>
        <w:t>占比较</w:t>
      </w:r>
      <w:proofErr w:type="gramEnd"/>
      <w:r>
        <w:rPr>
          <w:rFonts w:hint="eastAsia"/>
        </w:rPr>
        <w:t>高的业务分别为商家入驻合作及线上植物商店销售，而</w:t>
      </w:r>
      <w:r>
        <w:rPr>
          <w:rFonts w:hint="eastAsia"/>
        </w:rPr>
        <w:t>2026</w:t>
      </w:r>
      <w:r>
        <w:rPr>
          <w:rFonts w:hint="eastAsia"/>
        </w:rPr>
        <w:t>年以后的成本则由</w:t>
      </w:r>
      <w:r>
        <w:rPr>
          <w:rFonts w:hint="eastAsia"/>
        </w:rPr>
        <w:t>线上植物商店销售占主导。由此可见，未来本公司主</w:t>
      </w:r>
      <w:proofErr w:type="gramStart"/>
      <w:r>
        <w:rPr>
          <w:rFonts w:hint="eastAsia"/>
        </w:rPr>
        <w:t>打业务</w:t>
      </w:r>
      <w:proofErr w:type="gramEnd"/>
      <w:r>
        <w:rPr>
          <w:rFonts w:hint="eastAsia"/>
        </w:rPr>
        <w:t>仍为线上植物商店销售。本公司未来十年预计营业成本构成如下图所示：</w:t>
      </w:r>
    </w:p>
    <w:p w14:paraId="1465DC82" w14:textId="77777777" w:rsidR="00AE12E1" w:rsidRDefault="00B80973">
      <w:pPr>
        <w:ind w:firstLineChars="200" w:firstLine="420"/>
        <w:jc w:val="center"/>
      </w:pPr>
      <w:r>
        <w:rPr>
          <w:noProof/>
        </w:rPr>
        <w:lastRenderedPageBreak/>
        <w:drawing>
          <wp:inline distT="0" distB="0" distL="0" distR="0" wp14:anchorId="7D7C5B57" wp14:editId="26C9076D">
            <wp:extent cx="4572000" cy="3096260"/>
            <wp:effectExtent l="0" t="0" r="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C910BD" w14:textId="77777777" w:rsidR="00AE12E1" w:rsidRDefault="00B80973">
      <w:pPr>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本公司未来十年预计营业成本构成</w:t>
      </w:r>
    </w:p>
    <w:p w14:paraId="1693EE44" w14:textId="77777777" w:rsidR="00AE12E1" w:rsidRDefault="00AE12E1">
      <w:pPr>
        <w:rPr>
          <w:b/>
          <w:bCs/>
        </w:rPr>
      </w:pPr>
    </w:p>
    <w:p w14:paraId="442864BE" w14:textId="77777777" w:rsidR="00AE12E1" w:rsidRDefault="00B80973">
      <w:pPr>
        <w:rPr>
          <w:b/>
          <w:bCs/>
        </w:rPr>
      </w:pPr>
      <w:r>
        <w:rPr>
          <w:rFonts w:hint="eastAsia"/>
          <w:b/>
          <w:bCs/>
        </w:rPr>
        <w:t>1.4.3</w:t>
      </w:r>
      <w:r>
        <w:rPr>
          <w:b/>
          <w:bCs/>
        </w:rPr>
        <w:t xml:space="preserve"> </w:t>
      </w:r>
      <w:r>
        <w:rPr>
          <w:rFonts w:hint="eastAsia"/>
          <w:b/>
          <w:bCs/>
        </w:rPr>
        <w:t>财务指标分析</w:t>
      </w:r>
    </w:p>
    <w:p w14:paraId="5CADB625" w14:textId="77777777" w:rsidR="00AE12E1" w:rsidRDefault="00B80973">
      <w:pPr>
        <w:ind w:firstLineChars="200" w:firstLine="420"/>
      </w:pPr>
      <w:r>
        <w:rPr>
          <w:rFonts w:hint="eastAsia"/>
        </w:rPr>
        <w:t>由于本公司目前没有进行外部融资，资产负债表目前尚未成型，因此只编制了预计利润表作为财务决策的参考依据，财务指标也只选取了营业利润率（即营业利润</w:t>
      </w:r>
      <w:r>
        <w:rPr>
          <w:rFonts w:hint="eastAsia"/>
        </w:rPr>
        <w:t>/</w:t>
      </w:r>
      <w:r>
        <w:rPr>
          <w:rFonts w:hint="eastAsia"/>
        </w:rPr>
        <w:t>营业收入）与销售净利率（即净利润</w:t>
      </w:r>
      <w:r>
        <w:rPr>
          <w:rFonts w:hint="eastAsia"/>
        </w:rPr>
        <w:t>/</w:t>
      </w:r>
      <w:r>
        <w:rPr>
          <w:rFonts w:hint="eastAsia"/>
        </w:rPr>
        <w:t>营业收入）。部分财务指标如下表所示：</w:t>
      </w:r>
    </w:p>
    <w:tbl>
      <w:tblPr>
        <w:tblW w:w="5000" w:type="pct"/>
        <w:tblLook w:val="04A0" w:firstRow="1" w:lastRow="0" w:firstColumn="1" w:lastColumn="0" w:noHBand="0" w:noVBand="1"/>
      </w:tblPr>
      <w:tblGrid>
        <w:gridCol w:w="1732"/>
        <w:gridCol w:w="1291"/>
        <w:gridCol w:w="1291"/>
        <w:gridCol w:w="1291"/>
        <w:gridCol w:w="1291"/>
        <w:gridCol w:w="1400"/>
      </w:tblGrid>
      <w:tr w:rsidR="00AE12E1" w14:paraId="2EB09C97" w14:textId="77777777">
        <w:trPr>
          <w:trHeight w:val="278"/>
        </w:trPr>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31A394"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 xml:space="preserve">　</w:t>
            </w:r>
          </w:p>
        </w:tc>
        <w:tc>
          <w:tcPr>
            <w:tcW w:w="778" w:type="pct"/>
            <w:tcBorders>
              <w:top w:val="single" w:sz="4" w:space="0" w:color="auto"/>
              <w:left w:val="nil"/>
              <w:bottom w:val="single" w:sz="4" w:space="0" w:color="auto"/>
              <w:right w:val="single" w:sz="4" w:space="0" w:color="auto"/>
            </w:tcBorders>
            <w:shd w:val="clear" w:color="auto" w:fill="auto"/>
            <w:noWrap/>
            <w:vAlign w:val="bottom"/>
          </w:tcPr>
          <w:p w14:paraId="7E5D1B16"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2022</w:t>
            </w:r>
            <w:r>
              <w:rPr>
                <w:rFonts w:ascii="等线" w:eastAsia="等线" w:hAnsi="等线" w:cs="宋体" w:hint="eastAsia"/>
                <w:b/>
                <w:bCs/>
                <w:color w:val="000000"/>
                <w:kern w:val="0"/>
                <w:sz w:val="22"/>
              </w:rPr>
              <w:t>年</w:t>
            </w:r>
          </w:p>
        </w:tc>
        <w:tc>
          <w:tcPr>
            <w:tcW w:w="778" w:type="pct"/>
            <w:tcBorders>
              <w:top w:val="single" w:sz="4" w:space="0" w:color="auto"/>
              <w:left w:val="nil"/>
              <w:bottom w:val="single" w:sz="4" w:space="0" w:color="auto"/>
              <w:right w:val="single" w:sz="4" w:space="0" w:color="auto"/>
            </w:tcBorders>
            <w:shd w:val="clear" w:color="auto" w:fill="auto"/>
            <w:noWrap/>
            <w:vAlign w:val="bottom"/>
          </w:tcPr>
          <w:p w14:paraId="54E50F48"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2023</w:t>
            </w:r>
            <w:r>
              <w:rPr>
                <w:rFonts w:ascii="等线" w:eastAsia="等线" w:hAnsi="等线" w:cs="宋体" w:hint="eastAsia"/>
                <w:b/>
                <w:bCs/>
                <w:color w:val="000000"/>
                <w:kern w:val="0"/>
                <w:sz w:val="22"/>
              </w:rPr>
              <w:t>年</w:t>
            </w:r>
          </w:p>
        </w:tc>
        <w:tc>
          <w:tcPr>
            <w:tcW w:w="778" w:type="pct"/>
            <w:tcBorders>
              <w:top w:val="single" w:sz="4" w:space="0" w:color="auto"/>
              <w:left w:val="nil"/>
              <w:bottom w:val="single" w:sz="4" w:space="0" w:color="auto"/>
              <w:right w:val="single" w:sz="4" w:space="0" w:color="auto"/>
            </w:tcBorders>
            <w:shd w:val="clear" w:color="auto" w:fill="auto"/>
            <w:noWrap/>
            <w:vAlign w:val="bottom"/>
          </w:tcPr>
          <w:p w14:paraId="72881365"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2024</w:t>
            </w:r>
            <w:r>
              <w:rPr>
                <w:rFonts w:ascii="等线" w:eastAsia="等线" w:hAnsi="等线" w:cs="宋体" w:hint="eastAsia"/>
                <w:b/>
                <w:bCs/>
                <w:color w:val="000000"/>
                <w:kern w:val="0"/>
                <w:sz w:val="22"/>
              </w:rPr>
              <w:t>年</w:t>
            </w:r>
          </w:p>
        </w:tc>
        <w:tc>
          <w:tcPr>
            <w:tcW w:w="778" w:type="pct"/>
            <w:tcBorders>
              <w:top w:val="single" w:sz="4" w:space="0" w:color="auto"/>
              <w:left w:val="nil"/>
              <w:bottom w:val="single" w:sz="4" w:space="0" w:color="auto"/>
              <w:right w:val="single" w:sz="4" w:space="0" w:color="auto"/>
            </w:tcBorders>
            <w:shd w:val="clear" w:color="auto" w:fill="auto"/>
            <w:noWrap/>
            <w:vAlign w:val="bottom"/>
          </w:tcPr>
          <w:p w14:paraId="695D0C84"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2025</w:t>
            </w:r>
            <w:r>
              <w:rPr>
                <w:rFonts w:ascii="等线" w:eastAsia="等线" w:hAnsi="等线" w:cs="宋体" w:hint="eastAsia"/>
                <w:b/>
                <w:bCs/>
                <w:color w:val="000000"/>
                <w:kern w:val="0"/>
                <w:sz w:val="22"/>
              </w:rPr>
              <w:t>年</w:t>
            </w:r>
          </w:p>
        </w:tc>
        <w:tc>
          <w:tcPr>
            <w:tcW w:w="844" w:type="pct"/>
            <w:tcBorders>
              <w:top w:val="single" w:sz="4" w:space="0" w:color="auto"/>
              <w:left w:val="nil"/>
              <w:bottom w:val="single" w:sz="4" w:space="0" w:color="auto"/>
              <w:right w:val="single" w:sz="4" w:space="0" w:color="auto"/>
            </w:tcBorders>
            <w:shd w:val="clear" w:color="auto" w:fill="auto"/>
            <w:noWrap/>
            <w:vAlign w:val="bottom"/>
          </w:tcPr>
          <w:p w14:paraId="31B6037D"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2026</w:t>
            </w:r>
            <w:r>
              <w:rPr>
                <w:rFonts w:ascii="等线" w:eastAsia="等线" w:hAnsi="等线" w:cs="宋体" w:hint="eastAsia"/>
                <w:b/>
                <w:bCs/>
                <w:color w:val="000000"/>
                <w:kern w:val="0"/>
                <w:sz w:val="22"/>
              </w:rPr>
              <w:t>年</w:t>
            </w:r>
          </w:p>
        </w:tc>
      </w:tr>
      <w:tr w:rsidR="00AE12E1" w14:paraId="4BC9E1BA" w14:textId="77777777">
        <w:trPr>
          <w:trHeight w:val="278"/>
        </w:trPr>
        <w:tc>
          <w:tcPr>
            <w:tcW w:w="1044" w:type="pct"/>
            <w:tcBorders>
              <w:top w:val="nil"/>
              <w:left w:val="single" w:sz="4" w:space="0" w:color="auto"/>
              <w:bottom w:val="single" w:sz="4" w:space="0" w:color="auto"/>
              <w:right w:val="single" w:sz="4" w:space="0" w:color="auto"/>
            </w:tcBorders>
            <w:shd w:val="clear" w:color="auto" w:fill="auto"/>
            <w:noWrap/>
            <w:vAlign w:val="bottom"/>
          </w:tcPr>
          <w:p w14:paraId="48741FF3"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营业利润率</w:t>
            </w:r>
          </w:p>
        </w:tc>
        <w:tc>
          <w:tcPr>
            <w:tcW w:w="778" w:type="pct"/>
            <w:tcBorders>
              <w:top w:val="nil"/>
              <w:left w:val="nil"/>
              <w:bottom w:val="single" w:sz="4" w:space="0" w:color="auto"/>
              <w:right w:val="single" w:sz="4" w:space="0" w:color="auto"/>
            </w:tcBorders>
            <w:shd w:val="clear" w:color="auto" w:fill="auto"/>
            <w:noWrap/>
            <w:vAlign w:val="bottom"/>
          </w:tcPr>
          <w:p w14:paraId="29FA97FA"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-53.72%</w:t>
            </w:r>
          </w:p>
        </w:tc>
        <w:tc>
          <w:tcPr>
            <w:tcW w:w="778" w:type="pct"/>
            <w:tcBorders>
              <w:top w:val="nil"/>
              <w:left w:val="nil"/>
              <w:bottom w:val="single" w:sz="4" w:space="0" w:color="auto"/>
              <w:right w:val="single" w:sz="4" w:space="0" w:color="auto"/>
            </w:tcBorders>
            <w:shd w:val="clear" w:color="auto" w:fill="auto"/>
            <w:noWrap/>
            <w:vAlign w:val="bottom"/>
          </w:tcPr>
          <w:p w14:paraId="0DA51E7A"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-1.48%</w:t>
            </w:r>
          </w:p>
        </w:tc>
        <w:tc>
          <w:tcPr>
            <w:tcW w:w="778" w:type="pct"/>
            <w:tcBorders>
              <w:top w:val="nil"/>
              <w:left w:val="nil"/>
              <w:bottom w:val="single" w:sz="4" w:space="0" w:color="auto"/>
              <w:right w:val="single" w:sz="4" w:space="0" w:color="auto"/>
            </w:tcBorders>
            <w:shd w:val="clear" w:color="auto" w:fill="auto"/>
            <w:noWrap/>
            <w:vAlign w:val="bottom"/>
          </w:tcPr>
          <w:p w14:paraId="128EDAD5"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-1.75%</w:t>
            </w:r>
          </w:p>
        </w:tc>
        <w:tc>
          <w:tcPr>
            <w:tcW w:w="778" w:type="pct"/>
            <w:tcBorders>
              <w:top w:val="nil"/>
              <w:left w:val="nil"/>
              <w:bottom w:val="single" w:sz="4" w:space="0" w:color="auto"/>
              <w:right w:val="single" w:sz="4" w:space="0" w:color="auto"/>
            </w:tcBorders>
            <w:shd w:val="clear" w:color="auto" w:fill="auto"/>
            <w:noWrap/>
            <w:vAlign w:val="bottom"/>
          </w:tcPr>
          <w:p w14:paraId="0D6DCCD0"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-17.85%</w:t>
            </w:r>
          </w:p>
        </w:tc>
        <w:tc>
          <w:tcPr>
            <w:tcW w:w="844" w:type="pct"/>
            <w:tcBorders>
              <w:top w:val="nil"/>
              <w:left w:val="nil"/>
              <w:bottom w:val="single" w:sz="4" w:space="0" w:color="auto"/>
              <w:right w:val="single" w:sz="4" w:space="0" w:color="auto"/>
            </w:tcBorders>
            <w:shd w:val="clear" w:color="auto" w:fill="auto"/>
            <w:noWrap/>
            <w:vAlign w:val="bottom"/>
          </w:tcPr>
          <w:p w14:paraId="4856FA3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6.71%</w:t>
            </w:r>
          </w:p>
        </w:tc>
      </w:tr>
      <w:tr w:rsidR="00AE12E1" w14:paraId="410B35F1" w14:textId="77777777">
        <w:trPr>
          <w:trHeight w:val="278"/>
        </w:trPr>
        <w:tc>
          <w:tcPr>
            <w:tcW w:w="1044" w:type="pct"/>
            <w:tcBorders>
              <w:top w:val="nil"/>
              <w:left w:val="single" w:sz="4" w:space="0" w:color="auto"/>
              <w:bottom w:val="single" w:sz="4" w:space="0" w:color="auto"/>
              <w:right w:val="single" w:sz="4" w:space="0" w:color="auto"/>
            </w:tcBorders>
            <w:shd w:val="clear" w:color="auto" w:fill="auto"/>
            <w:noWrap/>
            <w:vAlign w:val="bottom"/>
          </w:tcPr>
          <w:p w14:paraId="1AE57CEE"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增长率</w:t>
            </w:r>
          </w:p>
        </w:tc>
        <w:tc>
          <w:tcPr>
            <w:tcW w:w="778" w:type="pct"/>
            <w:tcBorders>
              <w:top w:val="nil"/>
              <w:left w:val="nil"/>
              <w:bottom w:val="single" w:sz="4" w:space="0" w:color="auto"/>
              <w:right w:val="single" w:sz="4" w:space="0" w:color="auto"/>
            </w:tcBorders>
            <w:shd w:val="clear" w:color="auto" w:fill="auto"/>
            <w:noWrap/>
            <w:vAlign w:val="bottom"/>
          </w:tcPr>
          <w:p w14:paraId="70F68090"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p>
        </w:tc>
        <w:tc>
          <w:tcPr>
            <w:tcW w:w="778" w:type="pct"/>
            <w:tcBorders>
              <w:top w:val="nil"/>
              <w:left w:val="nil"/>
              <w:bottom w:val="single" w:sz="4" w:space="0" w:color="auto"/>
              <w:right w:val="single" w:sz="4" w:space="0" w:color="auto"/>
            </w:tcBorders>
            <w:shd w:val="clear" w:color="auto" w:fill="auto"/>
            <w:noWrap/>
            <w:vAlign w:val="bottom"/>
          </w:tcPr>
          <w:p w14:paraId="3BAF06CE"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-97.22%</w:t>
            </w:r>
          </w:p>
        </w:tc>
        <w:tc>
          <w:tcPr>
            <w:tcW w:w="778" w:type="pct"/>
            <w:tcBorders>
              <w:top w:val="nil"/>
              <w:left w:val="nil"/>
              <w:bottom w:val="single" w:sz="4" w:space="0" w:color="auto"/>
              <w:right w:val="single" w:sz="4" w:space="0" w:color="auto"/>
            </w:tcBorders>
            <w:shd w:val="clear" w:color="auto" w:fill="auto"/>
            <w:noWrap/>
            <w:vAlign w:val="bottom"/>
          </w:tcPr>
          <w:p w14:paraId="44A4D54B"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-18.20%</w:t>
            </w:r>
          </w:p>
        </w:tc>
        <w:tc>
          <w:tcPr>
            <w:tcW w:w="778" w:type="pct"/>
            <w:tcBorders>
              <w:top w:val="nil"/>
              <w:left w:val="nil"/>
              <w:bottom w:val="single" w:sz="4" w:space="0" w:color="auto"/>
              <w:right w:val="single" w:sz="4" w:space="0" w:color="auto"/>
            </w:tcBorders>
            <w:shd w:val="clear" w:color="auto" w:fill="auto"/>
            <w:noWrap/>
            <w:vAlign w:val="bottom"/>
          </w:tcPr>
          <w:p w14:paraId="02976A87"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-922.64%</w:t>
            </w:r>
          </w:p>
        </w:tc>
        <w:tc>
          <w:tcPr>
            <w:tcW w:w="844" w:type="pct"/>
            <w:tcBorders>
              <w:top w:val="nil"/>
              <w:left w:val="nil"/>
              <w:bottom w:val="single" w:sz="4" w:space="0" w:color="auto"/>
              <w:right w:val="single" w:sz="4" w:space="0" w:color="auto"/>
            </w:tcBorders>
            <w:shd w:val="clear" w:color="auto" w:fill="auto"/>
            <w:noWrap/>
            <w:vAlign w:val="bottom"/>
          </w:tcPr>
          <w:p w14:paraId="05DE6D1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131.56%</w:t>
            </w:r>
          </w:p>
        </w:tc>
      </w:tr>
      <w:tr w:rsidR="00AE12E1" w14:paraId="75C4F3C0" w14:textId="77777777">
        <w:trPr>
          <w:trHeight w:val="278"/>
        </w:trPr>
        <w:tc>
          <w:tcPr>
            <w:tcW w:w="1044" w:type="pct"/>
            <w:tcBorders>
              <w:top w:val="nil"/>
              <w:left w:val="single" w:sz="4" w:space="0" w:color="auto"/>
              <w:bottom w:val="single" w:sz="4" w:space="0" w:color="auto"/>
              <w:right w:val="single" w:sz="4" w:space="0" w:color="auto"/>
            </w:tcBorders>
            <w:shd w:val="clear" w:color="auto" w:fill="auto"/>
            <w:noWrap/>
            <w:vAlign w:val="bottom"/>
          </w:tcPr>
          <w:p w14:paraId="66212652"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销售净利率</w:t>
            </w:r>
          </w:p>
        </w:tc>
        <w:tc>
          <w:tcPr>
            <w:tcW w:w="778" w:type="pct"/>
            <w:tcBorders>
              <w:top w:val="nil"/>
              <w:left w:val="nil"/>
              <w:bottom w:val="single" w:sz="4" w:space="0" w:color="auto"/>
              <w:right w:val="single" w:sz="4" w:space="0" w:color="auto"/>
            </w:tcBorders>
            <w:shd w:val="clear" w:color="auto" w:fill="auto"/>
            <w:noWrap/>
            <w:vAlign w:val="bottom"/>
          </w:tcPr>
          <w:p w14:paraId="20C80928"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-53.07%</w:t>
            </w:r>
          </w:p>
        </w:tc>
        <w:tc>
          <w:tcPr>
            <w:tcW w:w="778" w:type="pct"/>
            <w:tcBorders>
              <w:top w:val="nil"/>
              <w:left w:val="nil"/>
              <w:bottom w:val="single" w:sz="4" w:space="0" w:color="auto"/>
              <w:right w:val="single" w:sz="4" w:space="0" w:color="auto"/>
            </w:tcBorders>
            <w:shd w:val="clear" w:color="auto" w:fill="auto"/>
            <w:noWrap/>
            <w:vAlign w:val="bottom"/>
          </w:tcPr>
          <w:p w14:paraId="3514168E"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-1.48%</w:t>
            </w:r>
          </w:p>
        </w:tc>
        <w:tc>
          <w:tcPr>
            <w:tcW w:w="778" w:type="pct"/>
            <w:tcBorders>
              <w:top w:val="nil"/>
              <w:left w:val="nil"/>
              <w:bottom w:val="single" w:sz="4" w:space="0" w:color="auto"/>
              <w:right w:val="single" w:sz="4" w:space="0" w:color="auto"/>
            </w:tcBorders>
            <w:shd w:val="clear" w:color="auto" w:fill="auto"/>
            <w:noWrap/>
            <w:vAlign w:val="bottom"/>
          </w:tcPr>
          <w:p w14:paraId="5EB202F3"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-1.75%</w:t>
            </w:r>
          </w:p>
        </w:tc>
        <w:tc>
          <w:tcPr>
            <w:tcW w:w="778" w:type="pct"/>
            <w:tcBorders>
              <w:top w:val="nil"/>
              <w:left w:val="nil"/>
              <w:bottom w:val="single" w:sz="4" w:space="0" w:color="auto"/>
              <w:right w:val="single" w:sz="4" w:space="0" w:color="auto"/>
            </w:tcBorders>
            <w:shd w:val="clear" w:color="auto" w:fill="auto"/>
            <w:noWrap/>
            <w:vAlign w:val="bottom"/>
          </w:tcPr>
          <w:p w14:paraId="6E281B69"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-17.85%</w:t>
            </w:r>
          </w:p>
        </w:tc>
        <w:tc>
          <w:tcPr>
            <w:tcW w:w="844" w:type="pct"/>
            <w:tcBorders>
              <w:top w:val="nil"/>
              <w:left w:val="nil"/>
              <w:bottom w:val="single" w:sz="4" w:space="0" w:color="auto"/>
              <w:right w:val="single" w:sz="4" w:space="0" w:color="auto"/>
            </w:tcBorders>
            <w:shd w:val="clear" w:color="auto" w:fill="auto"/>
            <w:noWrap/>
            <w:vAlign w:val="bottom"/>
          </w:tcPr>
          <w:p w14:paraId="13B0840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5.63%</w:t>
            </w:r>
          </w:p>
        </w:tc>
      </w:tr>
      <w:tr w:rsidR="00AE12E1" w14:paraId="76163421" w14:textId="77777777">
        <w:trPr>
          <w:trHeight w:val="278"/>
        </w:trPr>
        <w:tc>
          <w:tcPr>
            <w:tcW w:w="1044" w:type="pct"/>
            <w:tcBorders>
              <w:top w:val="nil"/>
              <w:left w:val="single" w:sz="4" w:space="0" w:color="auto"/>
              <w:bottom w:val="single" w:sz="4" w:space="0" w:color="auto"/>
              <w:right w:val="single" w:sz="4" w:space="0" w:color="auto"/>
            </w:tcBorders>
            <w:shd w:val="clear" w:color="auto" w:fill="auto"/>
            <w:noWrap/>
            <w:vAlign w:val="bottom"/>
          </w:tcPr>
          <w:p w14:paraId="1FC80157"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增长率</w:t>
            </w:r>
          </w:p>
        </w:tc>
        <w:tc>
          <w:tcPr>
            <w:tcW w:w="778" w:type="pct"/>
            <w:tcBorders>
              <w:top w:val="nil"/>
              <w:left w:val="nil"/>
              <w:bottom w:val="single" w:sz="4" w:space="0" w:color="auto"/>
              <w:right w:val="single" w:sz="4" w:space="0" w:color="auto"/>
            </w:tcBorders>
            <w:shd w:val="clear" w:color="auto" w:fill="auto"/>
            <w:noWrap/>
            <w:vAlign w:val="bottom"/>
          </w:tcPr>
          <w:p w14:paraId="56E8325B"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p>
        </w:tc>
        <w:tc>
          <w:tcPr>
            <w:tcW w:w="778" w:type="pct"/>
            <w:tcBorders>
              <w:top w:val="nil"/>
              <w:left w:val="nil"/>
              <w:bottom w:val="single" w:sz="4" w:space="0" w:color="auto"/>
              <w:right w:val="single" w:sz="4" w:space="0" w:color="auto"/>
            </w:tcBorders>
            <w:shd w:val="clear" w:color="auto" w:fill="auto"/>
            <w:noWrap/>
            <w:vAlign w:val="bottom"/>
          </w:tcPr>
          <w:p w14:paraId="24E0BF67"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-97.22%</w:t>
            </w:r>
          </w:p>
        </w:tc>
        <w:tc>
          <w:tcPr>
            <w:tcW w:w="778" w:type="pct"/>
            <w:tcBorders>
              <w:top w:val="nil"/>
              <w:left w:val="nil"/>
              <w:bottom w:val="single" w:sz="4" w:space="0" w:color="auto"/>
              <w:right w:val="single" w:sz="4" w:space="0" w:color="auto"/>
            </w:tcBorders>
            <w:shd w:val="clear" w:color="auto" w:fill="auto"/>
            <w:noWrap/>
            <w:vAlign w:val="bottom"/>
          </w:tcPr>
          <w:p w14:paraId="5D1B8CEF"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-18.20%</w:t>
            </w:r>
          </w:p>
        </w:tc>
        <w:tc>
          <w:tcPr>
            <w:tcW w:w="778" w:type="pct"/>
            <w:tcBorders>
              <w:top w:val="nil"/>
              <w:left w:val="nil"/>
              <w:bottom w:val="single" w:sz="4" w:space="0" w:color="auto"/>
              <w:right w:val="single" w:sz="4" w:space="0" w:color="auto"/>
            </w:tcBorders>
            <w:shd w:val="clear" w:color="auto" w:fill="auto"/>
            <w:noWrap/>
            <w:vAlign w:val="bottom"/>
          </w:tcPr>
          <w:p w14:paraId="04FAA7B6" w14:textId="77777777" w:rsidR="00AE12E1" w:rsidRDefault="00B80973">
            <w:pPr>
              <w:widowControl/>
              <w:jc w:val="right"/>
              <w:rPr>
                <w:rFonts w:ascii="等线" w:eastAsia="等线" w:hAnsi="等线" w:cs="宋体"/>
                <w:color w:val="FF0000"/>
                <w:kern w:val="0"/>
                <w:sz w:val="22"/>
              </w:rPr>
            </w:pPr>
            <w:r>
              <w:rPr>
                <w:rFonts w:ascii="等线" w:eastAsia="等线" w:hAnsi="等线" w:cs="宋体"/>
                <w:color w:val="FF0000"/>
                <w:kern w:val="0"/>
                <w:sz w:val="22"/>
              </w:rPr>
              <w:t>-922.64%</w:t>
            </w:r>
          </w:p>
        </w:tc>
        <w:tc>
          <w:tcPr>
            <w:tcW w:w="844" w:type="pct"/>
            <w:tcBorders>
              <w:top w:val="nil"/>
              <w:left w:val="nil"/>
              <w:bottom w:val="single" w:sz="4" w:space="0" w:color="auto"/>
              <w:right w:val="single" w:sz="4" w:space="0" w:color="auto"/>
            </w:tcBorders>
            <w:shd w:val="clear" w:color="auto" w:fill="auto"/>
            <w:noWrap/>
            <w:vAlign w:val="bottom"/>
          </w:tcPr>
          <w:p w14:paraId="1F00A066"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131.56%</w:t>
            </w:r>
          </w:p>
        </w:tc>
      </w:tr>
    </w:tbl>
    <w:p w14:paraId="4CDAD657" w14:textId="77777777" w:rsidR="00AE12E1" w:rsidRDefault="00AE12E1">
      <w:pPr>
        <w:jc w:val="center"/>
        <w:rPr>
          <w:sz w:val="18"/>
          <w:szCs w:val="18"/>
        </w:rPr>
      </w:pPr>
    </w:p>
    <w:tbl>
      <w:tblPr>
        <w:tblW w:w="5000" w:type="pct"/>
        <w:tblLook w:val="04A0" w:firstRow="1" w:lastRow="0" w:firstColumn="1" w:lastColumn="0" w:noHBand="0" w:noVBand="1"/>
      </w:tblPr>
      <w:tblGrid>
        <w:gridCol w:w="1516"/>
        <w:gridCol w:w="1130"/>
        <w:gridCol w:w="1130"/>
        <w:gridCol w:w="1130"/>
        <w:gridCol w:w="1130"/>
        <w:gridCol w:w="1130"/>
        <w:gridCol w:w="1130"/>
      </w:tblGrid>
      <w:tr w:rsidR="00AE12E1" w14:paraId="3D19900B" w14:textId="77777777">
        <w:trPr>
          <w:trHeight w:val="278"/>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5DA74B"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E799FF"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2027</w:t>
            </w:r>
            <w:r>
              <w:rPr>
                <w:rFonts w:ascii="等线" w:eastAsia="等线" w:hAnsi="等线" w:cs="宋体" w:hint="eastAsia"/>
                <w:b/>
                <w:bCs/>
                <w:color w:val="000000"/>
                <w:kern w:val="0"/>
                <w:sz w:val="22"/>
              </w:rPr>
              <w:t>年</w:t>
            </w:r>
          </w:p>
        </w:tc>
        <w:tc>
          <w:tcPr>
            <w:tcW w:w="681" w:type="pct"/>
            <w:tcBorders>
              <w:top w:val="single" w:sz="4" w:space="0" w:color="auto"/>
              <w:left w:val="nil"/>
              <w:bottom w:val="single" w:sz="4" w:space="0" w:color="auto"/>
              <w:right w:val="single" w:sz="4" w:space="0" w:color="auto"/>
            </w:tcBorders>
            <w:shd w:val="clear" w:color="auto" w:fill="auto"/>
            <w:noWrap/>
            <w:vAlign w:val="bottom"/>
          </w:tcPr>
          <w:p w14:paraId="190BBCDC"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2028</w:t>
            </w:r>
            <w:r>
              <w:rPr>
                <w:rFonts w:ascii="等线" w:eastAsia="等线" w:hAnsi="等线" w:cs="宋体" w:hint="eastAsia"/>
                <w:b/>
                <w:bCs/>
                <w:color w:val="000000"/>
                <w:kern w:val="0"/>
                <w:sz w:val="22"/>
              </w:rPr>
              <w:t>年</w:t>
            </w:r>
          </w:p>
        </w:tc>
        <w:tc>
          <w:tcPr>
            <w:tcW w:w="681" w:type="pct"/>
            <w:tcBorders>
              <w:top w:val="single" w:sz="4" w:space="0" w:color="auto"/>
              <w:left w:val="nil"/>
              <w:bottom w:val="single" w:sz="4" w:space="0" w:color="auto"/>
              <w:right w:val="single" w:sz="4" w:space="0" w:color="auto"/>
            </w:tcBorders>
            <w:shd w:val="clear" w:color="auto" w:fill="auto"/>
            <w:noWrap/>
            <w:vAlign w:val="bottom"/>
          </w:tcPr>
          <w:p w14:paraId="7258F9A5"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2029</w:t>
            </w:r>
            <w:r>
              <w:rPr>
                <w:rFonts w:ascii="等线" w:eastAsia="等线" w:hAnsi="等线" w:cs="宋体" w:hint="eastAsia"/>
                <w:b/>
                <w:bCs/>
                <w:color w:val="000000"/>
                <w:kern w:val="0"/>
                <w:sz w:val="22"/>
              </w:rPr>
              <w:t>年</w:t>
            </w:r>
          </w:p>
        </w:tc>
        <w:tc>
          <w:tcPr>
            <w:tcW w:w="681" w:type="pct"/>
            <w:tcBorders>
              <w:top w:val="single" w:sz="4" w:space="0" w:color="auto"/>
              <w:left w:val="nil"/>
              <w:bottom w:val="single" w:sz="4" w:space="0" w:color="auto"/>
              <w:right w:val="single" w:sz="4" w:space="0" w:color="auto"/>
            </w:tcBorders>
            <w:shd w:val="clear" w:color="auto" w:fill="auto"/>
            <w:noWrap/>
            <w:vAlign w:val="bottom"/>
          </w:tcPr>
          <w:p w14:paraId="5A6E11D8"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2030</w:t>
            </w:r>
            <w:r>
              <w:rPr>
                <w:rFonts w:ascii="等线" w:eastAsia="等线" w:hAnsi="等线" w:cs="宋体" w:hint="eastAsia"/>
                <w:b/>
                <w:bCs/>
                <w:color w:val="000000"/>
                <w:kern w:val="0"/>
                <w:sz w:val="22"/>
              </w:rPr>
              <w:t>年</w:t>
            </w:r>
          </w:p>
        </w:tc>
        <w:tc>
          <w:tcPr>
            <w:tcW w:w="681" w:type="pct"/>
            <w:tcBorders>
              <w:top w:val="single" w:sz="4" w:space="0" w:color="auto"/>
              <w:left w:val="nil"/>
              <w:bottom w:val="single" w:sz="4" w:space="0" w:color="auto"/>
              <w:right w:val="single" w:sz="4" w:space="0" w:color="auto"/>
            </w:tcBorders>
            <w:shd w:val="clear" w:color="auto" w:fill="auto"/>
            <w:noWrap/>
            <w:vAlign w:val="bottom"/>
          </w:tcPr>
          <w:p w14:paraId="4BAF82AE"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2031</w:t>
            </w:r>
            <w:r>
              <w:rPr>
                <w:rFonts w:ascii="等线" w:eastAsia="等线" w:hAnsi="等线" w:cs="宋体" w:hint="eastAsia"/>
                <w:b/>
                <w:bCs/>
                <w:color w:val="000000"/>
                <w:kern w:val="0"/>
                <w:sz w:val="22"/>
              </w:rPr>
              <w:t>年</w:t>
            </w:r>
          </w:p>
        </w:tc>
        <w:tc>
          <w:tcPr>
            <w:tcW w:w="681" w:type="pct"/>
            <w:tcBorders>
              <w:top w:val="single" w:sz="4" w:space="0" w:color="auto"/>
              <w:left w:val="nil"/>
              <w:bottom w:val="single" w:sz="4" w:space="0" w:color="auto"/>
              <w:right w:val="single" w:sz="4" w:space="0" w:color="auto"/>
            </w:tcBorders>
            <w:shd w:val="clear" w:color="auto" w:fill="auto"/>
            <w:noWrap/>
            <w:vAlign w:val="bottom"/>
          </w:tcPr>
          <w:p w14:paraId="273526AD"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2032</w:t>
            </w:r>
            <w:r>
              <w:rPr>
                <w:rFonts w:ascii="等线" w:eastAsia="等线" w:hAnsi="等线" w:cs="宋体" w:hint="eastAsia"/>
                <w:b/>
                <w:bCs/>
                <w:color w:val="000000"/>
                <w:kern w:val="0"/>
                <w:sz w:val="22"/>
              </w:rPr>
              <w:t>年</w:t>
            </w:r>
          </w:p>
        </w:tc>
      </w:tr>
      <w:tr w:rsidR="00AE12E1" w14:paraId="0B48FF85" w14:textId="77777777">
        <w:trPr>
          <w:trHeight w:val="278"/>
        </w:trPr>
        <w:tc>
          <w:tcPr>
            <w:tcW w:w="914" w:type="pct"/>
            <w:tcBorders>
              <w:top w:val="nil"/>
              <w:left w:val="single" w:sz="4" w:space="0" w:color="auto"/>
              <w:bottom w:val="single" w:sz="4" w:space="0" w:color="auto"/>
              <w:right w:val="single" w:sz="4" w:space="0" w:color="auto"/>
            </w:tcBorders>
            <w:shd w:val="clear" w:color="auto" w:fill="auto"/>
            <w:noWrap/>
            <w:vAlign w:val="bottom"/>
          </w:tcPr>
          <w:p w14:paraId="18B7BDA1"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营业利润率</w:t>
            </w:r>
          </w:p>
        </w:tc>
        <w:tc>
          <w:tcPr>
            <w:tcW w:w="681" w:type="pct"/>
            <w:tcBorders>
              <w:top w:val="nil"/>
              <w:left w:val="single" w:sz="4" w:space="0" w:color="auto"/>
              <w:bottom w:val="single" w:sz="4" w:space="0" w:color="auto"/>
              <w:right w:val="single" w:sz="4" w:space="0" w:color="auto"/>
            </w:tcBorders>
            <w:shd w:val="clear" w:color="auto" w:fill="auto"/>
            <w:noWrap/>
            <w:vAlign w:val="bottom"/>
          </w:tcPr>
          <w:p w14:paraId="5BF295D7"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14.89%</w:t>
            </w:r>
          </w:p>
        </w:tc>
        <w:tc>
          <w:tcPr>
            <w:tcW w:w="681" w:type="pct"/>
            <w:tcBorders>
              <w:top w:val="nil"/>
              <w:left w:val="nil"/>
              <w:bottom w:val="single" w:sz="4" w:space="0" w:color="auto"/>
              <w:right w:val="single" w:sz="4" w:space="0" w:color="auto"/>
            </w:tcBorders>
            <w:shd w:val="clear" w:color="auto" w:fill="auto"/>
            <w:noWrap/>
            <w:vAlign w:val="bottom"/>
          </w:tcPr>
          <w:p w14:paraId="046B3678"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12.35%</w:t>
            </w:r>
          </w:p>
        </w:tc>
        <w:tc>
          <w:tcPr>
            <w:tcW w:w="681" w:type="pct"/>
            <w:tcBorders>
              <w:top w:val="nil"/>
              <w:left w:val="nil"/>
              <w:bottom w:val="single" w:sz="4" w:space="0" w:color="auto"/>
              <w:right w:val="single" w:sz="4" w:space="0" w:color="auto"/>
            </w:tcBorders>
            <w:shd w:val="clear" w:color="auto" w:fill="auto"/>
            <w:noWrap/>
            <w:vAlign w:val="bottom"/>
          </w:tcPr>
          <w:p w14:paraId="2015598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22.71%</w:t>
            </w:r>
          </w:p>
        </w:tc>
        <w:tc>
          <w:tcPr>
            <w:tcW w:w="681" w:type="pct"/>
            <w:tcBorders>
              <w:top w:val="nil"/>
              <w:left w:val="nil"/>
              <w:bottom w:val="single" w:sz="4" w:space="0" w:color="auto"/>
              <w:right w:val="single" w:sz="4" w:space="0" w:color="auto"/>
            </w:tcBorders>
            <w:shd w:val="clear" w:color="auto" w:fill="auto"/>
            <w:noWrap/>
            <w:vAlign w:val="bottom"/>
          </w:tcPr>
          <w:p w14:paraId="6E17A7BE"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25.69%</w:t>
            </w:r>
          </w:p>
        </w:tc>
        <w:tc>
          <w:tcPr>
            <w:tcW w:w="681" w:type="pct"/>
            <w:tcBorders>
              <w:top w:val="nil"/>
              <w:left w:val="nil"/>
              <w:bottom w:val="single" w:sz="4" w:space="0" w:color="auto"/>
              <w:right w:val="single" w:sz="4" w:space="0" w:color="auto"/>
            </w:tcBorders>
            <w:shd w:val="clear" w:color="auto" w:fill="auto"/>
            <w:noWrap/>
            <w:vAlign w:val="bottom"/>
          </w:tcPr>
          <w:p w14:paraId="1C8B03DC"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25.12%</w:t>
            </w:r>
          </w:p>
        </w:tc>
        <w:tc>
          <w:tcPr>
            <w:tcW w:w="681" w:type="pct"/>
            <w:tcBorders>
              <w:top w:val="nil"/>
              <w:left w:val="nil"/>
              <w:bottom w:val="single" w:sz="4" w:space="0" w:color="auto"/>
              <w:right w:val="single" w:sz="4" w:space="0" w:color="auto"/>
            </w:tcBorders>
            <w:shd w:val="clear" w:color="auto" w:fill="auto"/>
            <w:noWrap/>
            <w:vAlign w:val="bottom"/>
          </w:tcPr>
          <w:p w14:paraId="1C1FCEB0"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29.55%</w:t>
            </w:r>
          </w:p>
        </w:tc>
      </w:tr>
      <w:tr w:rsidR="00AE12E1" w14:paraId="1ABDCE73" w14:textId="77777777">
        <w:trPr>
          <w:trHeight w:val="278"/>
        </w:trPr>
        <w:tc>
          <w:tcPr>
            <w:tcW w:w="914" w:type="pct"/>
            <w:tcBorders>
              <w:top w:val="nil"/>
              <w:left w:val="single" w:sz="4" w:space="0" w:color="auto"/>
              <w:bottom w:val="single" w:sz="4" w:space="0" w:color="auto"/>
              <w:right w:val="single" w:sz="4" w:space="0" w:color="auto"/>
            </w:tcBorders>
            <w:shd w:val="clear" w:color="auto" w:fill="auto"/>
            <w:noWrap/>
            <w:vAlign w:val="bottom"/>
          </w:tcPr>
          <w:p w14:paraId="0A7F5308"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增长率</w:t>
            </w:r>
          </w:p>
        </w:tc>
        <w:tc>
          <w:tcPr>
            <w:tcW w:w="681" w:type="pct"/>
            <w:tcBorders>
              <w:top w:val="nil"/>
              <w:left w:val="single" w:sz="4" w:space="0" w:color="auto"/>
              <w:bottom w:val="single" w:sz="4" w:space="0" w:color="auto"/>
              <w:right w:val="single" w:sz="4" w:space="0" w:color="auto"/>
            </w:tcBorders>
            <w:shd w:val="clear" w:color="auto" w:fill="auto"/>
            <w:noWrap/>
            <w:vAlign w:val="bottom"/>
          </w:tcPr>
          <w:p w14:paraId="51A118D8" w14:textId="77777777" w:rsidR="00AE12E1" w:rsidRDefault="00B80973">
            <w:pPr>
              <w:widowControl/>
              <w:jc w:val="right"/>
              <w:rPr>
                <w:rFonts w:ascii="等线" w:eastAsia="等线" w:hAnsi="等线" w:cs="宋体"/>
                <w:kern w:val="0"/>
                <w:sz w:val="22"/>
              </w:rPr>
            </w:pPr>
            <w:r>
              <w:rPr>
                <w:rFonts w:ascii="等线" w:eastAsia="等线" w:hAnsi="等线" w:cs="宋体" w:hint="eastAsia"/>
                <w:kern w:val="0"/>
                <w:sz w:val="22"/>
              </w:rPr>
              <w:t>122.07%</w:t>
            </w:r>
          </w:p>
        </w:tc>
        <w:tc>
          <w:tcPr>
            <w:tcW w:w="681" w:type="pct"/>
            <w:tcBorders>
              <w:top w:val="nil"/>
              <w:left w:val="nil"/>
              <w:bottom w:val="single" w:sz="4" w:space="0" w:color="auto"/>
              <w:right w:val="single" w:sz="4" w:space="0" w:color="auto"/>
            </w:tcBorders>
            <w:shd w:val="clear" w:color="auto" w:fill="auto"/>
            <w:noWrap/>
            <w:vAlign w:val="bottom"/>
          </w:tcPr>
          <w:p w14:paraId="2C43067D"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-17.08%</w:t>
            </w:r>
          </w:p>
        </w:tc>
        <w:tc>
          <w:tcPr>
            <w:tcW w:w="681" w:type="pct"/>
            <w:tcBorders>
              <w:top w:val="nil"/>
              <w:left w:val="nil"/>
              <w:bottom w:val="single" w:sz="4" w:space="0" w:color="auto"/>
              <w:right w:val="single" w:sz="4" w:space="0" w:color="auto"/>
            </w:tcBorders>
            <w:shd w:val="clear" w:color="auto" w:fill="auto"/>
            <w:noWrap/>
            <w:vAlign w:val="bottom"/>
          </w:tcPr>
          <w:p w14:paraId="225CB218" w14:textId="77777777" w:rsidR="00AE12E1" w:rsidRDefault="00B80973">
            <w:pPr>
              <w:widowControl/>
              <w:jc w:val="right"/>
              <w:rPr>
                <w:rFonts w:ascii="等线" w:eastAsia="等线" w:hAnsi="等线" w:cs="宋体"/>
                <w:kern w:val="0"/>
                <w:sz w:val="22"/>
              </w:rPr>
            </w:pPr>
            <w:r>
              <w:rPr>
                <w:rFonts w:ascii="等线" w:eastAsia="等线" w:hAnsi="等线" w:cs="宋体" w:hint="eastAsia"/>
                <w:kern w:val="0"/>
                <w:sz w:val="22"/>
              </w:rPr>
              <w:t>83.91%</w:t>
            </w:r>
          </w:p>
        </w:tc>
        <w:tc>
          <w:tcPr>
            <w:tcW w:w="681" w:type="pct"/>
            <w:tcBorders>
              <w:top w:val="nil"/>
              <w:left w:val="nil"/>
              <w:bottom w:val="single" w:sz="4" w:space="0" w:color="auto"/>
              <w:right w:val="single" w:sz="4" w:space="0" w:color="auto"/>
            </w:tcBorders>
            <w:shd w:val="clear" w:color="auto" w:fill="auto"/>
            <w:noWrap/>
            <w:vAlign w:val="bottom"/>
          </w:tcPr>
          <w:p w14:paraId="5928FD89" w14:textId="77777777" w:rsidR="00AE12E1" w:rsidRDefault="00B80973">
            <w:pPr>
              <w:widowControl/>
              <w:jc w:val="right"/>
              <w:rPr>
                <w:rFonts w:ascii="等线" w:eastAsia="等线" w:hAnsi="等线" w:cs="宋体"/>
                <w:kern w:val="0"/>
                <w:sz w:val="22"/>
              </w:rPr>
            </w:pPr>
            <w:r>
              <w:rPr>
                <w:rFonts w:ascii="等线" w:eastAsia="等线" w:hAnsi="等线" w:cs="宋体" w:hint="eastAsia"/>
                <w:kern w:val="0"/>
                <w:sz w:val="22"/>
              </w:rPr>
              <w:t>13.13%</w:t>
            </w:r>
          </w:p>
        </w:tc>
        <w:tc>
          <w:tcPr>
            <w:tcW w:w="681" w:type="pct"/>
            <w:tcBorders>
              <w:top w:val="nil"/>
              <w:left w:val="nil"/>
              <w:bottom w:val="single" w:sz="4" w:space="0" w:color="auto"/>
              <w:right w:val="single" w:sz="4" w:space="0" w:color="auto"/>
            </w:tcBorders>
            <w:shd w:val="clear" w:color="auto" w:fill="auto"/>
            <w:noWrap/>
            <w:vAlign w:val="bottom"/>
          </w:tcPr>
          <w:p w14:paraId="1493612A"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-2.23%</w:t>
            </w:r>
          </w:p>
        </w:tc>
        <w:tc>
          <w:tcPr>
            <w:tcW w:w="681" w:type="pct"/>
            <w:tcBorders>
              <w:top w:val="nil"/>
              <w:left w:val="nil"/>
              <w:bottom w:val="single" w:sz="4" w:space="0" w:color="auto"/>
              <w:right w:val="single" w:sz="4" w:space="0" w:color="auto"/>
            </w:tcBorders>
            <w:shd w:val="clear" w:color="auto" w:fill="auto"/>
            <w:noWrap/>
            <w:vAlign w:val="bottom"/>
          </w:tcPr>
          <w:p w14:paraId="75034D6A" w14:textId="77777777" w:rsidR="00AE12E1" w:rsidRDefault="00B80973">
            <w:pPr>
              <w:widowControl/>
              <w:jc w:val="right"/>
              <w:rPr>
                <w:rFonts w:ascii="等线" w:eastAsia="等线" w:hAnsi="等线" w:cs="宋体"/>
                <w:kern w:val="0"/>
                <w:sz w:val="22"/>
              </w:rPr>
            </w:pPr>
            <w:r>
              <w:rPr>
                <w:rFonts w:ascii="等线" w:eastAsia="等线" w:hAnsi="等线" w:cs="宋体" w:hint="eastAsia"/>
                <w:kern w:val="0"/>
                <w:sz w:val="22"/>
              </w:rPr>
              <w:t>17.66%</w:t>
            </w:r>
          </w:p>
        </w:tc>
      </w:tr>
      <w:tr w:rsidR="00AE12E1" w14:paraId="2BCA7F55" w14:textId="77777777">
        <w:trPr>
          <w:trHeight w:val="278"/>
        </w:trPr>
        <w:tc>
          <w:tcPr>
            <w:tcW w:w="914" w:type="pct"/>
            <w:tcBorders>
              <w:top w:val="nil"/>
              <w:left w:val="single" w:sz="4" w:space="0" w:color="auto"/>
              <w:bottom w:val="single" w:sz="4" w:space="0" w:color="auto"/>
              <w:right w:val="single" w:sz="4" w:space="0" w:color="auto"/>
            </w:tcBorders>
            <w:shd w:val="clear" w:color="auto" w:fill="auto"/>
            <w:noWrap/>
            <w:vAlign w:val="bottom"/>
          </w:tcPr>
          <w:p w14:paraId="7EA5DDD3"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销售净利率</w:t>
            </w:r>
          </w:p>
        </w:tc>
        <w:tc>
          <w:tcPr>
            <w:tcW w:w="681" w:type="pct"/>
            <w:tcBorders>
              <w:top w:val="nil"/>
              <w:left w:val="single" w:sz="4" w:space="0" w:color="auto"/>
              <w:bottom w:val="single" w:sz="4" w:space="0" w:color="auto"/>
              <w:right w:val="single" w:sz="4" w:space="0" w:color="auto"/>
            </w:tcBorders>
            <w:shd w:val="clear" w:color="auto" w:fill="auto"/>
            <w:noWrap/>
            <w:vAlign w:val="bottom"/>
          </w:tcPr>
          <w:p w14:paraId="3C3BF5DE"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12.51%</w:t>
            </w:r>
          </w:p>
        </w:tc>
        <w:tc>
          <w:tcPr>
            <w:tcW w:w="681" w:type="pct"/>
            <w:tcBorders>
              <w:top w:val="nil"/>
              <w:left w:val="nil"/>
              <w:bottom w:val="single" w:sz="4" w:space="0" w:color="auto"/>
              <w:right w:val="single" w:sz="4" w:space="0" w:color="auto"/>
            </w:tcBorders>
            <w:shd w:val="clear" w:color="auto" w:fill="auto"/>
            <w:noWrap/>
            <w:vAlign w:val="bottom"/>
          </w:tcPr>
          <w:p w14:paraId="6354163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10.37%</w:t>
            </w:r>
          </w:p>
        </w:tc>
        <w:tc>
          <w:tcPr>
            <w:tcW w:w="681" w:type="pct"/>
            <w:tcBorders>
              <w:top w:val="nil"/>
              <w:left w:val="nil"/>
              <w:bottom w:val="single" w:sz="4" w:space="0" w:color="auto"/>
              <w:right w:val="single" w:sz="4" w:space="0" w:color="auto"/>
            </w:tcBorders>
            <w:shd w:val="clear" w:color="auto" w:fill="auto"/>
            <w:noWrap/>
            <w:vAlign w:val="bottom"/>
          </w:tcPr>
          <w:p w14:paraId="2BE4601F"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19.08%</w:t>
            </w:r>
          </w:p>
        </w:tc>
        <w:tc>
          <w:tcPr>
            <w:tcW w:w="681" w:type="pct"/>
            <w:tcBorders>
              <w:top w:val="nil"/>
              <w:left w:val="nil"/>
              <w:bottom w:val="single" w:sz="4" w:space="0" w:color="auto"/>
              <w:right w:val="single" w:sz="4" w:space="0" w:color="auto"/>
            </w:tcBorders>
            <w:shd w:val="clear" w:color="auto" w:fill="auto"/>
            <w:noWrap/>
            <w:vAlign w:val="bottom"/>
          </w:tcPr>
          <w:p w14:paraId="7348449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21.58%</w:t>
            </w:r>
          </w:p>
        </w:tc>
        <w:tc>
          <w:tcPr>
            <w:tcW w:w="681" w:type="pct"/>
            <w:tcBorders>
              <w:top w:val="nil"/>
              <w:left w:val="nil"/>
              <w:bottom w:val="single" w:sz="4" w:space="0" w:color="auto"/>
              <w:right w:val="single" w:sz="4" w:space="0" w:color="auto"/>
            </w:tcBorders>
            <w:shd w:val="clear" w:color="auto" w:fill="auto"/>
            <w:noWrap/>
            <w:vAlign w:val="bottom"/>
          </w:tcPr>
          <w:p w14:paraId="367BA7E6"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21.10%</w:t>
            </w:r>
          </w:p>
        </w:tc>
        <w:tc>
          <w:tcPr>
            <w:tcW w:w="681" w:type="pct"/>
            <w:tcBorders>
              <w:top w:val="nil"/>
              <w:left w:val="nil"/>
              <w:bottom w:val="single" w:sz="4" w:space="0" w:color="auto"/>
              <w:right w:val="single" w:sz="4" w:space="0" w:color="auto"/>
            </w:tcBorders>
            <w:shd w:val="clear" w:color="auto" w:fill="auto"/>
            <w:noWrap/>
            <w:vAlign w:val="bottom"/>
          </w:tcPr>
          <w:p w14:paraId="40E4FCFE"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24.83%</w:t>
            </w:r>
          </w:p>
        </w:tc>
      </w:tr>
      <w:tr w:rsidR="00AE12E1" w14:paraId="13BEEDCC" w14:textId="77777777">
        <w:trPr>
          <w:trHeight w:val="278"/>
        </w:trPr>
        <w:tc>
          <w:tcPr>
            <w:tcW w:w="914" w:type="pct"/>
            <w:tcBorders>
              <w:top w:val="nil"/>
              <w:left w:val="single" w:sz="4" w:space="0" w:color="auto"/>
              <w:bottom w:val="single" w:sz="4" w:space="0" w:color="auto"/>
              <w:right w:val="single" w:sz="4" w:space="0" w:color="auto"/>
            </w:tcBorders>
            <w:shd w:val="clear" w:color="auto" w:fill="auto"/>
            <w:noWrap/>
            <w:vAlign w:val="bottom"/>
          </w:tcPr>
          <w:p w14:paraId="1283984E" w14:textId="77777777" w:rsidR="00AE12E1" w:rsidRDefault="00B8097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增长率</w:t>
            </w:r>
          </w:p>
        </w:tc>
        <w:tc>
          <w:tcPr>
            <w:tcW w:w="681" w:type="pct"/>
            <w:tcBorders>
              <w:top w:val="nil"/>
              <w:left w:val="single" w:sz="4" w:space="0" w:color="auto"/>
              <w:bottom w:val="single" w:sz="4" w:space="0" w:color="auto"/>
              <w:right w:val="single" w:sz="4" w:space="0" w:color="auto"/>
            </w:tcBorders>
            <w:shd w:val="clear" w:color="auto" w:fill="auto"/>
            <w:noWrap/>
            <w:vAlign w:val="bottom"/>
          </w:tcPr>
          <w:p w14:paraId="5D76933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122.07%</w:t>
            </w:r>
          </w:p>
        </w:tc>
        <w:tc>
          <w:tcPr>
            <w:tcW w:w="681" w:type="pct"/>
            <w:tcBorders>
              <w:top w:val="nil"/>
              <w:left w:val="nil"/>
              <w:bottom w:val="single" w:sz="4" w:space="0" w:color="auto"/>
              <w:right w:val="single" w:sz="4" w:space="0" w:color="auto"/>
            </w:tcBorders>
            <w:shd w:val="clear" w:color="auto" w:fill="auto"/>
            <w:noWrap/>
            <w:vAlign w:val="bottom"/>
          </w:tcPr>
          <w:p w14:paraId="28F9BB1C" w14:textId="77777777" w:rsidR="00AE12E1" w:rsidRDefault="00B80973">
            <w:pPr>
              <w:widowControl/>
              <w:jc w:val="right"/>
              <w:rPr>
                <w:rFonts w:ascii="等线" w:eastAsia="等线" w:hAnsi="等线" w:cs="宋体"/>
                <w:color w:val="000000"/>
                <w:kern w:val="0"/>
                <w:sz w:val="22"/>
              </w:rPr>
            </w:pPr>
            <w:r>
              <w:rPr>
                <w:rFonts w:ascii="等线" w:eastAsia="等线" w:hAnsi="等线" w:cs="宋体"/>
                <w:color w:val="FF0000"/>
                <w:kern w:val="0"/>
                <w:sz w:val="22"/>
              </w:rPr>
              <w:t>-17.08%</w:t>
            </w:r>
          </w:p>
        </w:tc>
        <w:tc>
          <w:tcPr>
            <w:tcW w:w="681" w:type="pct"/>
            <w:tcBorders>
              <w:top w:val="nil"/>
              <w:left w:val="nil"/>
              <w:bottom w:val="single" w:sz="4" w:space="0" w:color="auto"/>
              <w:right w:val="single" w:sz="4" w:space="0" w:color="auto"/>
            </w:tcBorders>
            <w:shd w:val="clear" w:color="auto" w:fill="auto"/>
            <w:noWrap/>
            <w:vAlign w:val="bottom"/>
          </w:tcPr>
          <w:p w14:paraId="0F8BE1C3"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83.91%</w:t>
            </w:r>
          </w:p>
        </w:tc>
        <w:tc>
          <w:tcPr>
            <w:tcW w:w="681" w:type="pct"/>
            <w:tcBorders>
              <w:top w:val="nil"/>
              <w:left w:val="nil"/>
              <w:bottom w:val="single" w:sz="4" w:space="0" w:color="auto"/>
              <w:right w:val="single" w:sz="4" w:space="0" w:color="auto"/>
            </w:tcBorders>
            <w:shd w:val="clear" w:color="auto" w:fill="auto"/>
            <w:noWrap/>
            <w:vAlign w:val="bottom"/>
          </w:tcPr>
          <w:p w14:paraId="0460BF59"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13.13%</w:t>
            </w:r>
          </w:p>
        </w:tc>
        <w:tc>
          <w:tcPr>
            <w:tcW w:w="681" w:type="pct"/>
            <w:tcBorders>
              <w:top w:val="nil"/>
              <w:left w:val="nil"/>
              <w:bottom w:val="single" w:sz="4" w:space="0" w:color="auto"/>
              <w:right w:val="single" w:sz="4" w:space="0" w:color="auto"/>
            </w:tcBorders>
            <w:shd w:val="clear" w:color="auto" w:fill="auto"/>
            <w:noWrap/>
            <w:vAlign w:val="bottom"/>
          </w:tcPr>
          <w:p w14:paraId="0E997414" w14:textId="77777777" w:rsidR="00AE12E1" w:rsidRDefault="00B80973">
            <w:pPr>
              <w:widowControl/>
              <w:jc w:val="right"/>
              <w:rPr>
                <w:rFonts w:ascii="等线" w:eastAsia="等线" w:hAnsi="等线" w:cs="宋体"/>
                <w:color w:val="FF0000"/>
                <w:kern w:val="0"/>
                <w:sz w:val="22"/>
              </w:rPr>
            </w:pPr>
            <w:r>
              <w:rPr>
                <w:rFonts w:ascii="等线" w:eastAsia="等线" w:hAnsi="等线" w:cs="宋体" w:hint="eastAsia"/>
                <w:color w:val="FF0000"/>
                <w:kern w:val="0"/>
                <w:sz w:val="22"/>
              </w:rPr>
              <w:t>-2.23%</w:t>
            </w:r>
          </w:p>
        </w:tc>
        <w:tc>
          <w:tcPr>
            <w:tcW w:w="681" w:type="pct"/>
            <w:tcBorders>
              <w:top w:val="nil"/>
              <w:left w:val="nil"/>
              <w:bottom w:val="single" w:sz="4" w:space="0" w:color="auto"/>
              <w:right w:val="single" w:sz="4" w:space="0" w:color="auto"/>
            </w:tcBorders>
            <w:shd w:val="clear" w:color="auto" w:fill="auto"/>
            <w:noWrap/>
            <w:vAlign w:val="bottom"/>
          </w:tcPr>
          <w:p w14:paraId="3006E654"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17.66%</w:t>
            </w:r>
          </w:p>
        </w:tc>
      </w:tr>
    </w:tbl>
    <w:p w14:paraId="1EB57750" w14:textId="77777777" w:rsidR="00AE12E1" w:rsidRDefault="00B80973">
      <w:pPr>
        <w:jc w:val="center"/>
        <w:rPr>
          <w:sz w:val="18"/>
          <w:szCs w:val="18"/>
        </w:rPr>
      </w:pPr>
      <w:r>
        <w:rPr>
          <w:rFonts w:hint="eastAsia"/>
          <w:sz w:val="18"/>
          <w:szCs w:val="18"/>
        </w:rPr>
        <w:t>表</w:t>
      </w:r>
      <w:r>
        <w:rPr>
          <w:rFonts w:hint="eastAsia"/>
          <w:sz w:val="18"/>
          <w:szCs w:val="18"/>
        </w:rPr>
        <w:t>3</w:t>
      </w:r>
      <w:r>
        <w:rPr>
          <w:sz w:val="18"/>
          <w:szCs w:val="18"/>
        </w:rPr>
        <w:t xml:space="preserve"> </w:t>
      </w:r>
      <w:r>
        <w:rPr>
          <w:rFonts w:hint="eastAsia"/>
          <w:sz w:val="18"/>
          <w:szCs w:val="18"/>
        </w:rPr>
        <w:t>部分财务指标分析</w:t>
      </w:r>
    </w:p>
    <w:p w14:paraId="32AF077D" w14:textId="77777777" w:rsidR="00AE12E1" w:rsidRDefault="00B80973">
      <w:pPr>
        <w:ind w:firstLineChars="200" w:firstLine="420"/>
      </w:pPr>
      <w:r>
        <w:rPr>
          <w:rFonts w:hint="eastAsia"/>
        </w:rPr>
        <w:t>由表可知，</w:t>
      </w:r>
      <w:r>
        <w:rPr>
          <w:rFonts w:hint="eastAsia"/>
        </w:rPr>
        <w:t>2023</w:t>
      </w:r>
      <w:r>
        <w:rPr>
          <w:rFonts w:hint="eastAsia"/>
        </w:rPr>
        <w:t>、</w:t>
      </w:r>
      <w:r>
        <w:rPr>
          <w:rFonts w:hint="eastAsia"/>
        </w:rPr>
        <w:t>2024</w:t>
      </w:r>
      <w:r>
        <w:rPr>
          <w:rFonts w:hint="eastAsia"/>
        </w:rPr>
        <w:t>、</w:t>
      </w:r>
      <w:r>
        <w:rPr>
          <w:rFonts w:hint="eastAsia"/>
        </w:rPr>
        <w:t>2025</w:t>
      </w:r>
      <w:r>
        <w:rPr>
          <w:rFonts w:hint="eastAsia"/>
        </w:rPr>
        <w:t>、</w:t>
      </w:r>
      <w:r>
        <w:rPr>
          <w:rFonts w:hint="eastAsia"/>
        </w:rPr>
        <w:t>2028</w:t>
      </w:r>
      <w:r>
        <w:rPr>
          <w:rFonts w:hint="eastAsia"/>
        </w:rPr>
        <w:t>、</w:t>
      </w:r>
      <w:r>
        <w:rPr>
          <w:rFonts w:hint="eastAsia"/>
        </w:rPr>
        <w:t>2031</w:t>
      </w:r>
      <w:r>
        <w:rPr>
          <w:rFonts w:hint="eastAsia"/>
        </w:rPr>
        <w:t>年的利润率增长率为负。根据企业生命周期理论，初创期企业的利润为负是合理现象，故此处只对</w:t>
      </w:r>
      <w:r>
        <w:rPr>
          <w:rFonts w:hint="eastAsia"/>
        </w:rPr>
        <w:t>2025</w:t>
      </w:r>
      <w:r>
        <w:rPr>
          <w:rFonts w:hint="eastAsia"/>
        </w:rPr>
        <w:t>年以后财务指标呈现的异常情况进行解释说明。</w:t>
      </w:r>
    </w:p>
    <w:p w14:paraId="7FBF0E90" w14:textId="77777777" w:rsidR="00AE12E1" w:rsidRDefault="00B80973">
      <w:pPr>
        <w:ind w:firstLineChars="200" w:firstLine="420"/>
      </w:pPr>
      <w:r>
        <w:rPr>
          <w:rFonts w:hint="eastAsia"/>
        </w:rPr>
        <w:t>根据折旧假设，本公司每三年</w:t>
      </w:r>
      <w:r>
        <w:t>重新</w:t>
      </w:r>
      <w:r>
        <w:rPr>
          <w:rFonts w:hint="eastAsia"/>
        </w:rPr>
        <w:t>购置</w:t>
      </w:r>
      <w:r>
        <w:t>一次长期资产，</w:t>
      </w:r>
      <w:r>
        <w:rPr>
          <w:rFonts w:hint="eastAsia"/>
        </w:rPr>
        <w:t>而</w:t>
      </w:r>
      <w:r>
        <w:t>长期资产投资金额的重要性水平较高，</w:t>
      </w:r>
      <w:r>
        <w:rPr>
          <w:rFonts w:hint="eastAsia"/>
        </w:rPr>
        <w:t>因此，购置长期资产年份的营业利润率与销售净利率均显著降低。而</w:t>
      </w:r>
      <w:r>
        <w:t>由于</w:t>
      </w:r>
      <w:r>
        <w:rPr>
          <w:rFonts w:hint="eastAsia"/>
        </w:rPr>
        <w:t>长期资产投资</w:t>
      </w:r>
      <w:r>
        <w:t>支出发生频率</w:t>
      </w:r>
      <w:r>
        <w:rPr>
          <w:rFonts w:hint="eastAsia"/>
        </w:rPr>
        <w:t>稳定</w:t>
      </w:r>
      <w:r>
        <w:t>，因此</w:t>
      </w:r>
      <w:r>
        <w:rPr>
          <w:rFonts w:hint="eastAsia"/>
        </w:rPr>
        <w:t>这两项财务指标</w:t>
      </w:r>
      <w:r>
        <w:t>的反常变化</w:t>
      </w:r>
      <w:r>
        <w:rPr>
          <w:rFonts w:hint="eastAsia"/>
        </w:rPr>
        <w:t>具有一定的</w:t>
      </w:r>
      <w:r>
        <w:t>规律</w:t>
      </w:r>
      <w:r>
        <w:rPr>
          <w:rFonts w:hint="eastAsia"/>
        </w:rPr>
        <w:t>性</w:t>
      </w:r>
      <w:r>
        <w:t>。</w:t>
      </w:r>
      <w:r>
        <w:rPr>
          <w:rFonts w:hint="eastAsia"/>
        </w:rPr>
        <w:t>综上，除购置长期资产的年份外，本公司未来十年的营业利润率与销售净利率均加速上升。</w:t>
      </w:r>
    </w:p>
    <w:p w14:paraId="5F9EA771" w14:textId="77777777" w:rsidR="00AE12E1" w:rsidRDefault="00B80973">
      <w:pPr>
        <w:ind w:firstLineChars="200" w:firstLine="420"/>
      </w:pPr>
      <w:proofErr w:type="gramStart"/>
      <w:r>
        <w:rPr>
          <w:rFonts w:hint="eastAsia"/>
        </w:rPr>
        <w:t>两指标</w:t>
      </w:r>
      <w:proofErr w:type="gramEnd"/>
      <w:r>
        <w:rPr>
          <w:rFonts w:hint="eastAsia"/>
        </w:rPr>
        <w:t>趋势如下图所示：</w:t>
      </w:r>
    </w:p>
    <w:p w14:paraId="648A8113" w14:textId="77777777" w:rsidR="00AE12E1" w:rsidRDefault="00B80973">
      <w:pPr>
        <w:ind w:firstLineChars="200" w:firstLine="420"/>
      </w:pPr>
      <w:r>
        <w:rPr>
          <w:noProof/>
        </w:rPr>
        <w:lastRenderedPageBreak/>
        <w:drawing>
          <wp:inline distT="0" distB="0" distL="0" distR="0" wp14:anchorId="092EACF4" wp14:editId="5EADC3A3">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6ACBD" w14:textId="77777777" w:rsidR="00AE12E1" w:rsidRDefault="00B80973">
      <w:pPr>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本公司未来十年财务指标趋势图</w:t>
      </w:r>
    </w:p>
    <w:p w14:paraId="399DABA6" w14:textId="77777777" w:rsidR="00AE12E1" w:rsidRDefault="00B80973">
      <w:pPr>
        <w:ind w:firstLineChars="200" w:firstLine="420"/>
      </w:pPr>
      <w:r>
        <w:rPr>
          <w:rFonts w:hint="eastAsia"/>
        </w:rPr>
        <w:t>根据以上数据进行分析，由于线下经营门店初创期所需购置的长期资产较多，花费成本较高，因此本公司</w:t>
      </w:r>
      <w:r>
        <w:rPr>
          <w:rFonts w:hint="eastAsia"/>
        </w:rPr>
        <w:t>2022-2026</w:t>
      </w:r>
      <w:r>
        <w:rPr>
          <w:rFonts w:hint="eastAsia"/>
        </w:rPr>
        <w:t>年营业利润率较低，甚至出现负增长；但后期随着主营业务的强势增长，本公司净利率开始上升。总体而言，本公司未来十年营业利</w:t>
      </w:r>
      <w:r>
        <w:rPr>
          <w:rFonts w:hint="eastAsia"/>
        </w:rPr>
        <w:t>润率及销售净利率呈先下降后上升的趋势，符合项目的生命周期理论，由此可得本公司具有良好的成长空间与发展潜力。</w:t>
      </w:r>
    </w:p>
    <w:p w14:paraId="70CEC2BD" w14:textId="77777777" w:rsidR="00AE12E1" w:rsidRDefault="00AE12E1">
      <w:pPr>
        <w:rPr>
          <w:b/>
          <w:bCs/>
        </w:rPr>
      </w:pPr>
    </w:p>
    <w:p w14:paraId="4711B8C8" w14:textId="77777777" w:rsidR="00AE12E1" w:rsidRDefault="00B80973">
      <w:pPr>
        <w:rPr>
          <w:b/>
          <w:bCs/>
        </w:rPr>
      </w:pPr>
      <w:r>
        <w:rPr>
          <w:rFonts w:hint="eastAsia"/>
          <w:b/>
          <w:bCs/>
        </w:rPr>
        <w:t>1.4.4</w:t>
      </w:r>
      <w:r>
        <w:rPr>
          <w:b/>
          <w:bCs/>
        </w:rPr>
        <w:t xml:space="preserve"> </w:t>
      </w:r>
      <w:r>
        <w:rPr>
          <w:rFonts w:hint="eastAsia"/>
          <w:b/>
          <w:bCs/>
        </w:rPr>
        <w:t>综合分析</w:t>
      </w:r>
    </w:p>
    <w:p w14:paraId="0DEAAEB2" w14:textId="77777777" w:rsidR="00AE12E1" w:rsidRDefault="00B80973">
      <w:pPr>
        <w:ind w:firstLineChars="200" w:firstLine="420"/>
      </w:pPr>
      <w:bookmarkStart w:id="1" w:name="_Hlk106140389"/>
      <w:r>
        <w:rPr>
          <w:rFonts w:hint="eastAsia"/>
        </w:rPr>
        <w:t>本公司未来十年预计收支及利润趋势</w:t>
      </w:r>
      <w:bookmarkEnd w:id="1"/>
      <w:r>
        <w:rPr>
          <w:rFonts w:hint="eastAsia"/>
        </w:rPr>
        <w:t>如下图所示。由图可知，本公司未来十年营业收入呈增长趋势，营业成本相比收入也在稳定上升，而净利润在</w:t>
      </w:r>
      <w:r>
        <w:rPr>
          <w:rFonts w:hint="eastAsia"/>
        </w:rPr>
        <w:t>2026</w:t>
      </w:r>
      <w:r>
        <w:rPr>
          <w:rFonts w:hint="eastAsia"/>
        </w:rPr>
        <w:t>年以前均为负数，</w:t>
      </w:r>
      <w:r>
        <w:rPr>
          <w:rFonts w:hint="eastAsia"/>
        </w:rPr>
        <w:t>2026</w:t>
      </w:r>
      <w:r>
        <w:rPr>
          <w:rFonts w:hint="eastAsia"/>
        </w:rPr>
        <w:t>年</w:t>
      </w:r>
      <w:proofErr w:type="gramStart"/>
      <w:r>
        <w:rPr>
          <w:rFonts w:hint="eastAsia"/>
        </w:rPr>
        <w:t>以后净</w:t>
      </w:r>
      <w:proofErr w:type="gramEnd"/>
      <w:r>
        <w:rPr>
          <w:rFonts w:hint="eastAsia"/>
        </w:rPr>
        <w:t>利润规模逐渐扩大。不考虑收入、成本折现因素，本项目投资回收期约为</w:t>
      </w:r>
      <w:r>
        <w:rPr>
          <w:rFonts w:hint="eastAsia"/>
        </w:rPr>
        <w:t>4</w:t>
      </w:r>
      <w:r>
        <w:rPr>
          <w:rFonts w:hint="eastAsia"/>
        </w:rPr>
        <w:t>年。由于本项目主打产品——元宇宙植物数字藏品具有强势的增长空间，因此，本公司发展潜力巨大，未来成长性良好。</w:t>
      </w:r>
    </w:p>
    <w:p w14:paraId="7F3C9490" w14:textId="77777777" w:rsidR="00AE12E1" w:rsidRDefault="00B80973">
      <w:pPr>
        <w:ind w:firstLineChars="200" w:firstLine="420"/>
      </w:pPr>
      <w:r>
        <w:rPr>
          <w:noProof/>
        </w:rPr>
        <w:drawing>
          <wp:inline distT="0" distB="0" distL="0" distR="0" wp14:anchorId="4B372A7E" wp14:editId="1E65FB4B">
            <wp:extent cx="4572000" cy="2745105"/>
            <wp:effectExtent l="0" t="0" r="0" b="1714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p>
    <w:p w14:paraId="521C5777" w14:textId="77777777" w:rsidR="00AE12E1" w:rsidRDefault="00B80973">
      <w:pPr>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本公司未来十年预计</w:t>
      </w:r>
      <w:r>
        <w:rPr>
          <w:sz w:val="18"/>
          <w:szCs w:val="18"/>
        </w:rPr>
        <w:t>收支及利润趋势</w:t>
      </w:r>
      <w:r>
        <w:rPr>
          <w:rFonts w:hint="eastAsia"/>
          <w:sz w:val="18"/>
          <w:szCs w:val="18"/>
        </w:rPr>
        <w:t>图</w:t>
      </w:r>
    </w:p>
    <w:p w14:paraId="24545383" w14:textId="77777777" w:rsidR="00AE12E1" w:rsidRDefault="00B80973">
      <w:pPr>
        <w:rPr>
          <w:b/>
          <w:bCs/>
        </w:rPr>
      </w:pPr>
      <w:r>
        <w:cr/>
      </w:r>
      <w:r>
        <w:rPr>
          <w:rFonts w:hint="eastAsia"/>
          <w:b/>
          <w:bCs/>
        </w:rPr>
        <w:t>2</w:t>
      </w:r>
      <w:r>
        <w:rPr>
          <w:b/>
          <w:bCs/>
        </w:rPr>
        <w:t xml:space="preserve"> </w:t>
      </w:r>
      <w:r>
        <w:rPr>
          <w:rFonts w:hint="eastAsia"/>
          <w:b/>
          <w:bCs/>
        </w:rPr>
        <w:t>投资可行性分析</w:t>
      </w:r>
    </w:p>
    <w:p w14:paraId="521495EA" w14:textId="77777777" w:rsidR="00AE12E1" w:rsidRDefault="00B80973">
      <w:pPr>
        <w:ind w:firstLineChars="200" w:firstLine="420"/>
      </w:pPr>
      <w:r>
        <w:rPr>
          <w:rFonts w:hint="eastAsia"/>
        </w:rPr>
        <w:lastRenderedPageBreak/>
        <w:t>投资者需要依靠</w:t>
      </w:r>
      <w:r>
        <w:t>各种指标进行计算判断</w:t>
      </w:r>
      <w:r>
        <w:rPr>
          <w:rFonts w:hint="eastAsia"/>
        </w:rPr>
        <w:t>进而完成自己的</w:t>
      </w:r>
      <w:r>
        <w:t>投资决策</w:t>
      </w:r>
      <w:r>
        <w:rPr>
          <w:rFonts w:hint="eastAsia"/>
        </w:rPr>
        <w:t>，因此，</w:t>
      </w:r>
      <w:r>
        <w:t>为了更好的为投资者做参考</w:t>
      </w:r>
      <w:r>
        <w:rPr>
          <w:rFonts w:hint="eastAsia"/>
        </w:rPr>
        <w:t>且清晰的展示出本项目的投资价值</w:t>
      </w:r>
      <w:r>
        <w:t>，下面从投资净</w:t>
      </w:r>
      <w:r>
        <w:rPr>
          <w:rFonts w:hint="eastAsia"/>
        </w:rPr>
        <w:t>现值、内含报酬率、投资回收期三个方面做分析。</w:t>
      </w:r>
    </w:p>
    <w:p w14:paraId="7AC81D3A" w14:textId="77777777" w:rsidR="00AE12E1" w:rsidRDefault="00AE12E1">
      <w:pPr>
        <w:ind w:firstLineChars="200" w:firstLine="420"/>
      </w:pPr>
    </w:p>
    <w:p w14:paraId="6A16377F" w14:textId="77777777" w:rsidR="00AE12E1" w:rsidRDefault="00B80973">
      <w:r>
        <w:rPr>
          <w:rFonts w:hint="eastAsia"/>
          <w:b/>
          <w:bCs/>
        </w:rPr>
        <w:t>2.2.1</w:t>
      </w:r>
      <w:r>
        <w:t xml:space="preserve"> </w:t>
      </w:r>
      <w:r>
        <w:rPr>
          <w:rFonts w:hint="eastAsia"/>
          <w:b/>
          <w:bCs/>
        </w:rPr>
        <w:t>投资净现值</w:t>
      </w:r>
    </w:p>
    <w:p w14:paraId="715C0609" w14:textId="77777777" w:rsidR="00AE12E1" w:rsidRDefault="00B80973">
      <w:pPr>
        <w:ind w:firstLineChars="200" w:firstLine="420"/>
      </w:pPr>
      <w:r>
        <w:t>折现值也称贴现值（</w:t>
      </w:r>
      <w:r>
        <w:t>Present Discounted Value</w:t>
      </w:r>
      <w:r>
        <w:t>，</w:t>
      </w:r>
      <w:r>
        <w:rPr>
          <w:rFonts w:hint="eastAsia"/>
        </w:rPr>
        <w:t>简称</w:t>
      </w:r>
      <w:r>
        <w:t>PDV</w:t>
      </w:r>
      <w:r>
        <w:t>）是将未来的一笔</w:t>
      </w:r>
      <w:proofErr w:type="gramStart"/>
      <w:r>
        <w:t>钱按照</w:t>
      </w:r>
      <w:proofErr w:type="gramEnd"/>
      <w:r>
        <w:t>某种利率折合为现值。</w:t>
      </w:r>
      <w:r>
        <w:rPr>
          <w:rFonts w:hint="eastAsia"/>
        </w:rPr>
        <w:t>（在本项目的计算期内假设折现率为</w:t>
      </w:r>
      <w:r>
        <w:rPr>
          <w:rFonts w:hint="eastAsia"/>
        </w:rPr>
        <w:t>10%</w:t>
      </w:r>
      <w:r>
        <w:rPr>
          <w:rFonts w:hint="eastAsia"/>
        </w:rPr>
        <w:t>），其计算公式如下：</w:t>
      </w:r>
    </w:p>
    <w:p w14:paraId="72606D9E" w14:textId="77777777" w:rsidR="00AE12E1" w:rsidRDefault="00B80973">
      <w:pPr>
        <w:rPr>
          <w:rFonts w:hAnsi="Cambria Math"/>
          <w:bCs/>
        </w:rPr>
      </w:pPr>
      <w:r>
        <w:rPr>
          <w:rFonts w:hAnsi="Cambria Math" w:hint="eastAsia"/>
          <w:bCs/>
        </w:rPr>
        <w:t>净现值计算</w:t>
      </w:r>
      <w:r>
        <w:rPr>
          <w:rFonts w:hAnsi="Cambria Math" w:hint="eastAsia"/>
          <w:bCs/>
        </w:rPr>
        <w:t>=</w:t>
      </w:r>
      <m:oMath>
        <m:nary>
          <m:naryPr>
            <m:chr m:val="∑"/>
            <m:limLoc m:val="undOvr"/>
            <m:subHide m:val="1"/>
            <m:supHide m:val="1"/>
            <m:ctrlPr>
              <w:rPr>
                <w:rFonts w:ascii="Cambria Math" w:hAnsi="Cambria Math"/>
                <w:bCs/>
                <w:i/>
              </w:rPr>
            </m:ctrlPr>
          </m:naryPr>
          <m:sub/>
          <m:sup/>
          <m:e>
            <m:r>
              <w:rPr>
                <w:rFonts w:ascii="Cambria Math" w:hAnsi="Cambria Math" w:hint="eastAsia"/>
              </w:rPr>
              <m:t>（每年现金流入</m:t>
            </m:r>
            <m:r>
              <w:rPr>
                <w:rFonts w:ascii="Cambria Math" w:hAnsi="Cambria Math"/>
              </w:rPr>
              <m:t>*</m:t>
            </m:r>
            <m:r>
              <w:rPr>
                <w:rFonts w:ascii="Cambria Math" w:hAnsi="Cambria Math" w:hint="eastAsia"/>
              </w:rPr>
              <m:t>折现系数）</m:t>
            </m:r>
          </m:e>
        </m:nary>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hint="eastAsia"/>
              </w:rPr>
              <m:t>（每年现金流出</m:t>
            </m:r>
            <m:r>
              <w:rPr>
                <w:rFonts w:ascii="Cambria Math" w:hAnsi="Cambria Math"/>
              </w:rPr>
              <m:t>*</m:t>
            </m:r>
            <m:r>
              <w:rPr>
                <w:rFonts w:ascii="Cambria Math" w:hAnsi="Cambria Math" w:hint="eastAsia"/>
              </w:rPr>
              <m:t>折现系数）</m:t>
            </m:r>
          </m:e>
        </m:nary>
      </m:oMath>
    </w:p>
    <w:p w14:paraId="785A4B65" w14:textId="77777777" w:rsidR="00AE12E1" w:rsidRDefault="00B80973">
      <w:pPr>
        <w:widowControl/>
        <w:jc w:val="left"/>
        <w:rPr>
          <w:bCs/>
          <w:color w:val="000000"/>
          <w:kern w:val="0"/>
          <w:sz w:val="24"/>
          <w:szCs w:val="24"/>
          <w:lang w:bidi="ar"/>
        </w:rPr>
      </w:pPr>
      <w:r>
        <w:rPr>
          <w:rFonts w:hint="eastAsia"/>
        </w:rPr>
        <w:t>投资净现值</w:t>
      </w:r>
      <w:r>
        <w:rPr>
          <w:rFonts w:hint="eastAsia"/>
        </w:rPr>
        <w:t xml:space="preserve"> = </w:t>
      </w:r>
      <m:oMath>
        <m:nary>
          <m:naryPr>
            <m:chr m:val="∑"/>
            <m:limLoc m:val="undOvr"/>
            <m:ctrlPr>
              <w:rPr>
                <w:rFonts w:ascii="Cambria Math" w:hAnsi="Cambria Math" w:cs="宋体"/>
                <w:bCs/>
                <w:i/>
                <w:color w:val="000000"/>
                <w:kern w:val="0"/>
                <w:sz w:val="24"/>
                <w:szCs w:val="24"/>
                <w:lang w:bidi="ar"/>
              </w:rPr>
            </m:ctrlPr>
          </m:naryPr>
          <m:sub>
            <m:r>
              <w:rPr>
                <w:rFonts w:ascii="Cambria Math" w:hAnsi="Cambria Math" w:cs="宋体"/>
                <w:color w:val="000000"/>
                <w:kern w:val="0"/>
                <w:sz w:val="24"/>
                <w:szCs w:val="24"/>
                <w:lang w:bidi="ar"/>
              </w:rPr>
              <m:t>t</m:t>
            </m:r>
            <m:r>
              <w:rPr>
                <w:rFonts w:ascii="Cambria Math" w:hAnsi="Cambria Math" w:cs="宋体"/>
                <w:color w:val="000000"/>
                <w:kern w:val="0"/>
                <w:sz w:val="24"/>
                <w:szCs w:val="24"/>
                <w:lang w:bidi="ar"/>
              </w:rPr>
              <m:t>=1</m:t>
            </m:r>
          </m:sub>
          <m:sup>
            <m:r>
              <w:rPr>
                <w:rFonts w:ascii="Cambria Math" w:hAnsi="Cambria Math" w:cs="宋体"/>
                <w:color w:val="000000"/>
                <w:kern w:val="0"/>
                <w:sz w:val="24"/>
                <w:szCs w:val="24"/>
                <w:lang w:bidi="ar"/>
              </w:rPr>
              <m:t>n</m:t>
            </m:r>
          </m:sup>
          <m:e>
            <m:f>
              <m:fPr>
                <m:ctrlPr>
                  <w:rPr>
                    <w:rFonts w:ascii="Cambria Math" w:hAnsi="Cambria Math" w:cs="宋体"/>
                    <w:bCs/>
                    <w:i/>
                    <w:color w:val="000000"/>
                    <w:kern w:val="0"/>
                    <w:sz w:val="24"/>
                    <w:szCs w:val="24"/>
                    <w:lang w:bidi="ar"/>
                  </w:rPr>
                </m:ctrlPr>
              </m:fPr>
              <m:num>
                <m:r>
                  <w:rPr>
                    <w:rFonts w:ascii="Cambria Math" w:hAnsi="Cambria Math" w:cs="宋体"/>
                    <w:color w:val="000000"/>
                    <w:kern w:val="0"/>
                    <w:sz w:val="24"/>
                    <w:szCs w:val="24"/>
                    <w:lang w:bidi="ar"/>
                  </w:rPr>
                  <m:t>NCF</m:t>
                </m:r>
              </m:num>
              <m:den>
                <m:sSup>
                  <m:sSupPr>
                    <m:ctrlPr>
                      <w:rPr>
                        <w:rFonts w:ascii="Cambria Math" w:hAnsi="Cambria Math" w:cs="宋体"/>
                        <w:bCs/>
                        <w:i/>
                        <w:color w:val="000000"/>
                        <w:kern w:val="0"/>
                        <w:sz w:val="24"/>
                        <w:szCs w:val="24"/>
                        <w:lang w:bidi="ar"/>
                      </w:rPr>
                    </m:ctrlPr>
                  </m:sSupPr>
                  <m:e>
                    <m:r>
                      <w:rPr>
                        <w:rFonts w:ascii="Cambria Math" w:hAnsi="Cambria Math" w:cs="宋体"/>
                        <w:color w:val="000000"/>
                        <w:kern w:val="0"/>
                        <w:sz w:val="24"/>
                        <w:szCs w:val="24"/>
                        <w:lang w:bidi="ar"/>
                      </w:rPr>
                      <m:t>(1+</m:t>
                    </m:r>
                    <m:r>
                      <w:rPr>
                        <w:rFonts w:ascii="Cambria Math" w:hAnsi="Cambria Math" w:cs="宋体"/>
                        <w:color w:val="000000"/>
                        <w:kern w:val="0"/>
                        <w:sz w:val="24"/>
                        <w:szCs w:val="24"/>
                        <w:lang w:bidi="ar"/>
                      </w:rPr>
                      <m:t>K</m:t>
                    </m:r>
                    <m:r>
                      <w:rPr>
                        <w:rFonts w:ascii="Cambria Math" w:hAnsi="Cambria Math" w:cs="宋体"/>
                        <w:color w:val="000000"/>
                        <w:kern w:val="0"/>
                        <w:sz w:val="24"/>
                        <w:szCs w:val="24"/>
                        <w:lang w:bidi="ar"/>
                      </w:rPr>
                      <m:t>)</m:t>
                    </m:r>
                  </m:e>
                  <m:sup>
                    <m:r>
                      <w:rPr>
                        <w:rFonts w:ascii="Cambria Math" w:hAnsi="Cambria Math" w:cs="宋体"/>
                        <w:color w:val="000000"/>
                        <w:kern w:val="0"/>
                        <w:sz w:val="24"/>
                        <w:szCs w:val="24"/>
                        <w:lang w:bidi="ar"/>
                      </w:rPr>
                      <m:t>t</m:t>
                    </m:r>
                  </m:sup>
                </m:sSup>
              </m:den>
            </m:f>
            <m:r>
              <w:rPr>
                <w:rFonts w:ascii="Cambria Math" w:hAnsi="Cambria Math" w:cs="宋体"/>
                <w:color w:val="000000"/>
                <w:kern w:val="0"/>
                <w:sz w:val="24"/>
                <w:szCs w:val="24"/>
                <w:lang w:bidi="ar"/>
              </w:rPr>
              <m:t>-</m:t>
            </m:r>
            <m:r>
              <w:rPr>
                <w:rFonts w:ascii="Cambria Math" w:hAnsi="Cambria Math" w:cs="宋体"/>
                <w:color w:val="000000"/>
                <w:kern w:val="0"/>
                <w:sz w:val="24"/>
                <w:szCs w:val="24"/>
                <w:lang w:bidi="ar"/>
              </w:rPr>
              <m:t>t</m:t>
            </m:r>
          </m:e>
        </m:nary>
      </m:oMath>
    </w:p>
    <w:p w14:paraId="3B0B4B6A" w14:textId="77777777" w:rsidR="00AE12E1" w:rsidRDefault="00B80973">
      <w:pPr>
        <w:ind w:firstLineChars="200" w:firstLine="420"/>
      </w:pPr>
      <w:r>
        <w:rPr>
          <w:rFonts w:hint="eastAsia"/>
        </w:rPr>
        <w:t>根据以上公式及相关数据计算可得：</w:t>
      </w:r>
      <w:r>
        <w:rPr>
          <w:rFonts w:hint="eastAsia"/>
        </w:rPr>
        <w:t xml:space="preserve"> FNPV= 4628527</w:t>
      </w:r>
      <w:r>
        <w:rPr>
          <w:rFonts w:hint="eastAsia"/>
        </w:rPr>
        <w:t>元</w:t>
      </w:r>
    </w:p>
    <w:p w14:paraId="3B5906BD" w14:textId="77777777" w:rsidR="00AE12E1" w:rsidRDefault="00B80973">
      <w:pPr>
        <w:ind w:firstLineChars="200" w:firstLine="420"/>
      </w:pPr>
      <w:r>
        <w:rPr>
          <w:rFonts w:hint="eastAsia"/>
        </w:rPr>
        <w:t>财务净现值（</w:t>
      </w:r>
      <w:r>
        <w:rPr>
          <w:rFonts w:hint="eastAsia"/>
        </w:rPr>
        <w:t>Financial Net Present Value</w:t>
      </w:r>
      <w:r>
        <w:rPr>
          <w:rFonts w:hint="eastAsia"/>
        </w:rPr>
        <w:t>，简称</w:t>
      </w:r>
      <w:r>
        <w:rPr>
          <w:rFonts w:hint="eastAsia"/>
        </w:rPr>
        <w:t>F</w:t>
      </w:r>
      <w:r>
        <w:t>NPV</w:t>
      </w:r>
      <w:r>
        <w:rPr>
          <w:rFonts w:hint="eastAsia"/>
        </w:rPr>
        <w:t>），是指把项目计算期内各年的财务净现金流量</w:t>
      </w:r>
      <w:r>
        <w:rPr>
          <w:rFonts w:hint="eastAsia"/>
        </w:rPr>
        <w:t>,</w:t>
      </w:r>
      <w:r>
        <w:rPr>
          <w:rFonts w:hint="eastAsia"/>
        </w:rPr>
        <w:t>按照给定的标准折现率</w:t>
      </w:r>
      <w:r>
        <w:rPr>
          <w:rFonts w:hint="eastAsia"/>
        </w:rPr>
        <w:t xml:space="preserve"> (10%) </w:t>
      </w:r>
      <w:r>
        <w:rPr>
          <w:rFonts w:hint="eastAsia"/>
        </w:rPr>
        <w:t>折算到建设期初的现值之</w:t>
      </w:r>
      <w:proofErr w:type="gramStart"/>
      <w:r>
        <w:rPr>
          <w:rFonts w:hint="eastAsia"/>
        </w:rPr>
        <w:t>和</w:t>
      </w:r>
      <w:proofErr w:type="gramEnd"/>
      <w:r>
        <w:rPr>
          <w:rFonts w:hint="eastAsia"/>
        </w:rPr>
        <w:t>。</w:t>
      </w:r>
    </w:p>
    <w:p w14:paraId="61644358" w14:textId="77777777" w:rsidR="00AE12E1" w:rsidRDefault="00B80973">
      <w:pPr>
        <w:ind w:firstLineChars="200" w:firstLine="420"/>
      </w:pPr>
      <w:r>
        <w:rPr>
          <w:rFonts w:hint="eastAsia"/>
        </w:rPr>
        <w:t>以央行为例，六个月至一年的短期贷款利率为</w:t>
      </w:r>
      <w:r>
        <w:rPr>
          <w:rFonts w:hint="eastAsia"/>
        </w:rPr>
        <w:t>4.35%</w:t>
      </w:r>
      <w:r>
        <w:rPr>
          <w:rFonts w:hint="eastAsia"/>
        </w:rPr>
        <w:t>，一年至三年和三年至五年的中长期贷款利率为</w:t>
      </w:r>
      <w:r>
        <w:rPr>
          <w:rFonts w:hint="eastAsia"/>
        </w:rPr>
        <w:t>4.75%</w:t>
      </w:r>
      <w:r>
        <w:rPr>
          <w:rFonts w:hint="eastAsia"/>
        </w:rPr>
        <w:t>。考虑到目前资金的贷款成本较低，资金的机会成本和投资中存在的不确定性风险，且遵循谨慎性原则，本项目将</w:t>
      </w:r>
      <w:r>
        <w:rPr>
          <w:rFonts w:hint="eastAsia"/>
        </w:rPr>
        <w:t>i</w:t>
      </w:r>
      <w:r>
        <w:rPr>
          <w:rFonts w:hint="eastAsia"/>
        </w:rPr>
        <w:t>取</w:t>
      </w:r>
      <w:r>
        <w:rPr>
          <w:rFonts w:hint="eastAsia"/>
        </w:rPr>
        <w:t xml:space="preserve"> 10%  </w:t>
      </w:r>
      <w:r>
        <w:rPr>
          <w:rFonts w:hint="eastAsia"/>
        </w:rPr>
        <w:t>此时，</w:t>
      </w:r>
      <w:r>
        <w:rPr>
          <w:rFonts w:hint="eastAsia"/>
        </w:rPr>
        <w:t>NPV=4628527(</w:t>
      </w:r>
      <w:r>
        <w:rPr>
          <w:rFonts w:hint="eastAsia"/>
        </w:rPr>
        <w:t>元</w:t>
      </w:r>
      <w:r>
        <w:rPr>
          <w:rFonts w:hint="eastAsia"/>
        </w:rPr>
        <w:t>)</w:t>
      </w:r>
      <w:r>
        <w:rPr>
          <w:rFonts w:hint="eastAsia"/>
        </w:rPr>
        <w:t>。</w:t>
      </w:r>
    </w:p>
    <w:p w14:paraId="5E787A22" w14:textId="77777777" w:rsidR="00AE12E1" w:rsidRDefault="00B80973">
      <w:pPr>
        <w:ind w:firstLineChars="200" w:firstLine="420"/>
      </w:pPr>
      <w:r>
        <w:rPr>
          <w:rFonts w:hint="eastAsia"/>
        </w:rPr>
        <w:t>净现值为正，该方案可行，说明项目中的现金流入的现值大于现金流出的现值，即该项目的融资成本大于项目的投资回报率，项目在财务上可行且值得投资的。</w:t>
      </w:r>
    </w:p>
    <w:p w14:paraId="4EF24B29" w14:textId="77777777" w:rsidR="00AE12E1" w:rsidRDefault="00AE12E1">
      <w:pPr>
        <w:rPr>
          <w:rFonts w:hAnsi="Cambria Math"/>
          <w:bCs/>
        </w:rPr>
      </w:pPr>
    </w:p>
    <w:p w14:paraId="403A3172" w14:textId="77777777" w:rsidR="00AE12E1" w:rsidRDefault="00B80973">
      <w:pPr>
        <w:rPr>
          <w:rFonts w:hAnsi="Cambria Math"/>
          <w:b/>
        </w:rPr>
      </w:pPr>
      <w:r>
        <w:rPr>
          <w:rFonts w:hAnsi="Cambria Math" w:hint="eastAsia"/>
          <w:b/>
        </w:rPr>
        <w:t>2.2.2</w:t>
      </w:r>
      <w:r>
        <w:rPr>
          <w:rFonts w:hAnsi="Cambria Math"/>
          <w:b/>
        </w:rPr>
        <w:t xml:space="preserve"> </w:t>
      </w:r>
      <w:r>
        <w:rPr>
          <w:rFonts w:hAnsi="Cambria Math" w:hint="eastAsia"/>
          <w:b/>
        </w:rPr>
        <w:t>内含报酬率</w:t>
      </w:r>
      <w:r>
        <w:rPr>
          <w:rFonts w:hAnsi="Cambria Math"/>
          <w:b/>
        </w:rPr>
        <w:t xml:space="preserve"> </w:t>
      </w:r>
    </w:p>
    <w:p w14:paraId="1387BC2E" w14:textId="77777777" w:rsidR="00AE12E1" w:rsidRDefault="00B80973">
      <w:pPr>
        <w:ind w:firstLineChars="200" w:firstLine="420"/>
      </w:pPr>
      <w:r>
        <w:rPr>
          <w:rFonts w:hint="eastAsia"/>
        </w:rPr>
        <w:t>内含报酬率（</w:t>
      </w:r>
      <w:r>
        <w:rPr>
          <w:rFonts w:hint="eastAsia"/>
        </w:rPr>
        <w:t>I</w:t>
      </w:r>
      <w:r>
        <w:t>nternal Rate of Return</w:t>
      </w:r>
      <w:r>
        <w:rPr>
          <w:rFonts w:hint="eastAsia"/>
        </w:rPr>
        <w:t>，简称</w:t>
      </w:r>
      <w:r>
        <w:rPr>
          <w:rFonts w:hint="eastAsia"/>
        </w:rPr>
        <w:t>I</w:t>
      </w:r>
      <w:r>
        <w:t>RR</w:t>
      </w:r>
      <w:r>
        <w:rPr>
          <w:rFonts w:hint="eastAsia"/>
        </w:rPr>
        <w:t>）</w:t>
      </w:r>
      <w:r>
        <w:t>是指能够使未来</w:t>
      </w:r>
      <w:r>
        <w:t>现金流入现值等于未来现金流出现值的，或者说是使投资方案净现值为零的贴现率。</w:t>
      </w:r>
    </w:p>
    <w:p w14:paraId="594AFB6A" w14:textId="77777777" w:rsidR="00AE12E1" w:rsidRDefault="00B80973">
      <w:pPr>
        <w:ind w:firstLineChars="200" w:firstLine="420"/>
        <w:rPr>
          <w:rFonts w:hAnsi="Cambria Math"/>
          <w:bCs/>
        </w:rPr>
      </w:pPr>
      <w:r>
        <w:rPr>
          <w:rFonts w:hAnsi="Cambria Math" w:hint="eastAsia"/>
          <w:bCs/>
        </w:rPr>
        <w:t>根据现金流量表计算内含报酬率公式如下：</w:t>
      </w:r>
    </w:p>
    <w:p w14:paraId="2C9BEF05" w14:textId="77777777" w:rsidR="00AE12E1" w:rsidRDefault="00B80973">
      <w:pPr>
        <w:rPr>
          <w:rFonts w:hAnsi="Cambria Math"/>
          <w:b/>
        </w:rPr>
      </w:pPr>
      <m:oMath>
        <m:nary>
          <m:naryPr>
            <m:chr m:val="∑"/>
            <m:limLoc m:val="undOvr"/>
            <m:ctrlPr>
              <w:rPr>
                <w:rFonts w:ascii="Cambria Math" w:hAnsi="Cambria Math" w:cs="宋体"/>
                <w:bCs/>
                <w:i/>
                <w:color w:val="000000"/>
                <w:kern w:val="0"/>
                <w:sz w:val="24"/>
                <w:szCs w:val="24"/>
                <w:lang w:bidi="ar"/>
              </w:rPr>
            </m:ctrlPr>
          </m:naryPr>
          <m:sub>
            <m:r>
              <w:rPr>
                <w:rFonts w:ascii="Cambria Math" w:hAnsi="Cambria Math" w:cs="宋体"/>
                <w:color w:val="000000"/>
                <w:kern w:val="0"/>
                <w:sz w:val="24"/>
                <w:szCs w:val="24"/>
                <w:lang w:bidi="ar"/>
              </w:rPr>
              <m:t>t</m:t>
            </m:r>
            <m:r>
              <w:rPr>
                <w:rFonts w:ascii="Cambria Math" w:hAnsi="Cambria Math" w:cs="宋体"/>
                <w:color w:val="000000"/>
                <w:kern w:val="0"/>
                <w:sz w:val="24"/>
                <w:szCs w:val="24"/>
                <w:lang w:bidi="ar"/>
              </w:rPr>
              <m:t>=1</m:t>
            </m:r>
          </m:sub>
          <m:sup>
            <m:r>
              <w:rPr>
                <w:rFonts w:ascii="Cambria Math" w:hAnsi="Cambria Math" w:cs="宋体"/>
                <w:color w:val="000000"/>
                <w:kern w:val="0"/>
                <w:sz w:val="24"/>
                <w:szCs w:val="24"/>
                <w:lang w:bidi="ar"/>
              </w:rPr>
              <m:t>n</m:t>
            </m:r>
          </m:sup>
          <m:e>
            <m:f>
              <m:fPr>
                <m:ctrlPr>
                  <w:rPr>
                    <w:rFonts w:ascii="Cambria Math" w:hAnsi="Cambria Math" w:cs="宋体"/>
                    <w:bCs/>
                    <w:i/>
                    <w:color w:val="000000"/>
                    <w:kern w:val="0"/>
                    <w:sz w:val="24"/>
                    <w:szCs w:val="24"/>
                    <w:lang w:bidi="ar"/>
                  </w:rPr>
                </m:ctrlPr>
              </m:fPr>
              <m:num>
                <m:r>
                  <w:rPr>
                    <w:rFonts w:ascii="Cambria Math" w:hAnsi="Cambria Math" w:cs="宋体"/>
                    <w:color w:val="000000"/>
                    <w:kern w:val="0"/>
                    <w:sz w:val="24"/>
                    <w:szCs w:val="24"/>
                    <w:lang w:bidi="ar"/>
                  </w:rPr>
                  <m:t>NCF</m:t>
                </m:r>
              </m:num>
              <m:den>
                <m:sSup>
                  <m:sSupPr>
                    <m:ctrlPr>
                      <w:rPr>
                        <w:rFonts w:ascii="Cambria Math" w:hAnsi="Cambria Math" w:cs="宋体"/>
                        <w:bCs/>
                        <w:i/>
                        <w:color w:val="000000"/>
                        <w:kern w:val="0"/>
                        <w:sz w:val="24"/>
                        <w:szCs w:val="24"/>
                        <w:lang w:bidi="ar"/>
                      </w:rPr>
                    </m:ctrlPr>
                  </m:sSupPr>
                  <m:e>
                    <m:r>
                      <w:rPr>
                        <w:rFonts w:ascii="Cambria Math" w:hAnsi="Cambria Math" w:cs="宋体"/>
                        <w:color w:val="000000"/>
                        <w:kern w:val="0"/>
                        <w:sz w:val="24"/>
                        <w:szCs w:val="24"/>
                        <w:lang w:bidi="ar"/>
                      </w:rPr>
                      <m:t>(1+</m:t>
                    </m:r>
                    <m:r>
                      <w:rPr>
                        <w:rFonts w:ascii="Cambria Math" w:hAnsi="Cambria Math" w:cs="宋体"/>
                        <w:color w:val="000000"/>
                        <w:kern w:val="0"/>
                        <w:sz w:val="24"/>
                        <w:szCs w:val="24"/>
                        <w:lang w:bidi="ar"/>
                      </w:rPr>
                      <m:t>IRR</m:t>
                    </m:r>
                    <m:r>
                      <w:rPr>
                        <w:rFonts w:ascii="Cambria Math" w:hAnsi="Cambria Math" w:cs="宋体"/>
                        <w:color w:val="000000"/>
                        <w:kern w:val="0"/>
                        <w:sz w:val="24"/>
                        <w:szCs w:val="24"/>
                        <w:lang w:bidi="ar"/>
                      </w:rPr>
                      <m:t>)</m:t>
                    </m:r>
                  </m:e>
                  <m:sup>
                    <m:r>
                      <w:rPr>
                        <w:rFonts w:ascii="Cambria Math" w:hAnsi="Cambria Math" w:cs="宋体"/>
                        <w:color w:val="000000"/>
                        <w:kern w:val="0"/>
                        <w:sz w:val="24"/>
                        <w:szCs w:val="24"/>
                        <w:lang w:bidi="ar"/>
                      </w:rPr>
                      <m:t>t</m:t>
                    </m:r>
                  </m:sup>
                </m:sSup>
              </m:den>
            </m:f>
            <m:r>
              <w:rPr>
                <w:rFonts w:ascii="Cambria Math" w:hAnsi="Cambria Math" w:cs="宋体"/>
                <w:color w:val="000000"/>
                <w:kern w:val="0"/>
                <w:sz w:val="24"/>
                <w:szCs w:val="24"/>
                <w:lang w:bidi="ar"/>
              </w:rPr>
              <m:t>-</m:t>
            </m:r>
            <m:r>
              <w:rPr>
                <w:rFonts w:ascii="Cambria Math" w:hAnsi="Cambria Math" w:cs="宋体"/>
                <w:color w:val="000000"/>
                <w:kern w:val="0"/>
                <w:sz w:val="24"/>
                <w:szCs w:val="24"/>
                <w:lang w:bidi="ar"/>
              </w:rPr>
              <m:t>t</m:t>
            </m:r>
          </m:e>
        </m:nary>
      </m:oMath>
      <w:r>
        <w:rPr>
          <w:rFonts w:hAnsi="Cambria Math" w:cs="宋体" w:hint="eastAsia"/>
          <w:bCs/>
          <w:color w:val="000000"/>
          <w:kern w:val="0"/>
          <w:sz w:val="24"/>
          <w:szCs w:val="24"/>
          <w:lang w:bidi="ar"/>
        </w:rPr>
        <w:t>=0</w:t>
      </w:r>
    </w:p>
    <w:p w14:paraId="752D60AA" w14:textId="77777777" w:rsidR="00AE12E1" w:rsidRDefault="00B80973">
      <w:pPr>
        <w:ind w:firstLineChars="200" w:firstLine="420"/>
      </w:pPr>
      <w:r>
        <w:t>计算可得：</w:t>
      </w:r>
      <w:r>
        <w:t xml:space="preserve"> IRR=</w:t>
      </w:r>
      <w:r>
        <w:rPr>
          <w:rFonts w:hint="eastAsia"/>
        </w:rPr>
        <w:t>41</w:t>
      </w:r>
      <w:r>
        <w:t>%</w:t>
      </w:r>
    </w:p>
    <w:p w14:paraId="68E24F65" w14:textId="77777777" w:rsidR="00AE12E1" w:rsidRDefault="00B80973">
      <w:pPr>
        <w:ind w:firstLineChars="200" w:firstLine="420"/>
        <w:rPr>
          <w:rFonts w:hAnsi="Cambria Math"/>
          <w:bCs/>
        </w:rPr>
      </w:pPr>
      <w:r>
        <w:rPr>
          <w:rFonts w:hAnsi="Cambria Math" w:hint="eastAsia"/>
          <w:bCs/>
        </w:rPr>
        <w:t>本项目内含报酬率达到</w:t>
      </w:r>
      <w:r>
        <w:rPr>
          <w:rFonts w:hAnsi="Cambria Math" w:hint="eastAsia"/>
          <w:bCs/>
        </w:rPr>
        <w:t xml:space="preserve"> 41%</w:t>
      </w:r>
      <w:r>
        <w:rPr>
          <w:rFonts w:hAnsi="Cambria Math" w:hint="eastAsia"/>
          <w:bCs/>
        </w:rPr>
        <w:t>，远高于资金成本率</w:t>
      </w:r>
      <w:r>
        <w:rPr>
          <w:rFonts w:hAnsi="Cambria Math" w:hint="eastAsia"/>
          <w:bCs/>
        </w:rPr>
        <w:t xml:space="preserve"> 10%</w:t>
      </w:r>
      <w:r>
        <w:rPr>
          <w:rFonts w:hAnsi="Cambria Math" w:hint="eastAsia"/>
          <w:bCs/>
        </w:rPr>
        <w:t>。主要因为植物文</w:t>
      </w:r>
      <w:proofErr w:type="gramStart"/>
      <w:r>
        <w:rPr>
          <w:rFonts w:hAnsi="Cambria Math" w:hint="eastAsia"/>
          <w:bCs/>
        </w:rPr>
        <w:t>创产品</w:t>
      </w:r>
      <w:proofErr w:type="gramEnd"/>
      <w:r>
        <w:rPr>
          <w:rFonts w:hAnsi="Cambria Math" w:hint="eastAsia"/>
          <w:bCs/>
        </w:rPr>
        <w:t>和数字产品，利润空间大，得销售利润率较高，前</w:t>
      </w:r>
      <w:r>
        <w:rPr>
          <w:rFonts w:hAnsi="Cambria Math" w:hint="eastAsia"/>
          <w:bCs/>
        </w:rPr>
        <w:t xml:space="preserve"> 5 </w:t>
      </w:r>
      <w:r>
        <w:rPr>
          <w:rFonts w:hAnsi="Cambria Math" w:hint="eastAsia"/>
          <w:bCs/>
        </w:rPr>
        <w:t>年内市场增长性良好。</w:t>
      </w:r>
    </w:p>
    <w:p w14:paraId="4D0CB66C" w14:textId="77777777" w:rsidR="00AE12E1" w:rsidRDefault="00AE12E1">
      <w:pPr>
        <w:rPr>
          <w:rFonts w:hAnsi="Cambria Math"/>
          <w:bCs/>
        </w:rPr>
      </w:pPr>
    </w:p>
    <w:p w14:paraId="7BBF3A2D" w14:textId="77777777" w:rsidR="00AE12E1" w:rsidRDefault="00B80973">
      <w:pPr>
        <w:rPr>
          <w:rFonts w:hAnsi="Cambria Math"/>
          <w:bCs/>
        </w:rPr>
      </w:pPr>
      <w:r>
        <w:rPr>
          <w:rFonts w:hAnsi="Cambria Math" w:hint="eastAsia"/>
          <w:b/>
        </w:rPr>
        <w:t>2.2.3</w:t>
      </w:r>
      <w:r>
        <w:rPr>
          <w:rFonts w:hAnsi="Cambria Math"/>
          <w:b/>
        </w:rPr>
        <w:t xml:space="preserve"> </w:t>
      </w:r>
      <w:r>
        <w:rPr>
          <w:rFonts w:hAnsi="Cambria Math" w:hint="eastAsia"/>
          <w:b/>
        </w:rPr>
        <w:t>投资回收期</w:t>
      </w:r>
      <w:r>
        <w:rPr>
          <w:rFonts w:hAnsi="Cambria Math"/>
          <w:b/>
        </w:rPr>
        <w:t xml:space="preserve"> </w:t>
      </w:r>
    </w:p>
    <w:p w14:paraId="7227D498" w14:textId="77777777" w:rsidR="00AE12E1" w:rsidRDefault="00B80973">
      <w:pPr>
        <w:ind w:firstLineChars="200" w:firstLine="420"/>
      </w:pPr>
      <w:r>
        <w:rPr>
          <w:rFonts w:hint="eastAsia"/>
        </w:rPr>
        <w:t>静态投资回收期是在不考虑资金时间价值的条件下，以项目的净收益回收其全部投资所需要的时间。</w:t>
      </w:r>
      <w:r>
        <w:t>可以在一定程度上反映出项目方案的资金回收能力</w:t>
      </w:r>
      <w:r>
        <w:t>，有助于对</w:t>
      </w:r>
      <w:r>
        <w:rPr>
          <w:rFonts w:hint="eastAsia"/>
        </w:rPr>
        <w:t>本企业</w:t>
      </w:r>
      <w:hyperlink r:id="rId12" w:tgtFrame="https://baike.so.com/doc/_blank" w:history="1">
        <w:r>
          <w:t>资金短缺</w:t>
        </w:r>
      </w:hyperlink>
      <w:r>
        <w:t>或未来情况难以预测的项目进行评价。</w:t>
      </w:r>
    </w:p>
    <w:p w14:paraId="7D13BBFC" w14:textId="77777777" w:rsidR="00AE12E1" w:rsidRDefault="00B80973">
      <w:pPr>
        <w:ind w:firstLineChars="200" w:firstLine="420"/>
      </w:pPr>
      <w:r>
        <w:t>计算得</w:t>
      </w:r>
      <w:r>
        <w:rPr>
          <w:rFonts w:hint="eastAsia"/>
        </w:rPr>
        <w:t>静态投资回收期</w:t>
      </w:r>
      <w:r>
        <w:t>为</w:t>
      </w:r>
      <w:r>
        <w:t xml:space="preserve"> </w:t>
      </w:r>
      <w:r>
        <w:rPr>
          <w:rFonts w:hint="eastAsia"/>
        </w:rPr>
        <w:t>6.63</w:t>
      </w:r>
      <w:r>
        <w:t xml:space="preserve"> </w:t>
      </w:r>
      <w:r>
        <w:t>年，小于行业平均投资回收期</w:t>
      </w:r>
      <w:r>
        <w:rPr>
          <w:rFonts w:hint="eastAsia"/>
        </w:rPr>
        <w:t xml:space="preserve"> </w:t>
      </w:r>
      <w:r>
        <w:t>(</w:t>
      </w:r>
      <w:r>
        <w:rPr>
          <w:rFonts w:hint="eastAsia"/>
        </w:rPr>
        <w:t>Payback Cycle</w:t>
      </w:r>
      <w:r>
        <w:t>)</w:t>
      </w:r>
      <w:r>
        <w:t>，投资方案可行。</w:t>
      </w:r>
    </w:p>
    <w:p w14:paraId="791F9A9E" w14:textId="77777777" w:rsidR="00AE12E1" w:rsidRDefault="00AE12E1"/>
    <w:p w14:paraId="4C7BAB24" w14:textId="77777777" w:rsidR="00AE12E1" w:rsidRDefault="00B80973">
      <w:pPr>
        <w:rPr>
          <w:b/>
          <w:bCs/>
        </w:rPr>
      </w:pPr>
      <w:r>
        <w:rPr>
          <w:rFonts w:hint="eastAsia"/>
          <w:b/>
          <w:bCs/>
        </w:rPr>
        <w:t>3</w:t>
      </w:r>
      <w:r>
        <w:rPr>
          <w:b/>
          <w:bCs/>
        </w:rPr>
        <w:t xml:space="preserve"> </w:t>
      </w:r>
      <w:r>
        <w:rPr>
          <w:rFonts w:hint="eastAsia"/>
          <w:b/>
          <w:bCs/>
        </w:rPr>
        <w:t>融资分析</w:t>
      </w:r>
    </w:p>
    <w:p w14:paraId="3F6154C7" w14:textId="77777777" w:rsidR="00AE12E1" w:rsidRDefault="00B80973">
      <w:pPr>
        <w:ind w:firstLineChars="200" w:firstLine="420"/>
      </w:pPr>
      <w:r>
        <w:rPr>
          <w:rFonts w:hint="eastAsia"/>
        </w:rPr>
        <w:t>发挥未来上市公司平台优势，将从三个方面促进本企业高质量发展：促协同，研究谋划控股股东旗下非上市数字植物文创业</w:t>
      </w:r>
      <w:proofErr w:type="gramStart"/>
      <w:r>
        <w:rPr>
          <w:rFonts w:hint="eastAsia"/>
        </w:rPr>
        <w:t>务</w:t>
      </w:r>
      <w:proofErr w:type="gramEnd"/>
      <w:r>
        <w:rPr>
          <w:rFonts w:hint="eastAsia"/>
        </w:rPr>
        <w:t>的协同管理，以期进一步发挥上市公司管理优势，增强上下游业务协同，在业务创新、科技创新、模式创新等方面探索新的突破；促开拓，基于对未来资源、产能、运营等的统筹安排，以合</w:t>
      </w:r>
      <w:proofErr w:type="gramStart"/>
      <w:r>
        <w:rPr>
          <w:rFonts w:hint="eastAsia"/>
        </w:rPr>
        <w:t>规</w:t>
      </w:r>
      <w:proofErr w:type="gramEnd"/>
      <w:r>
        <w:rPr>
          <w:rFonts w:hint="eastAsia"/>
        </w:rPr>
        <w:t>为前提，探寻符合公司发展的分离、深加工以及科技服务等项目投资</w:t>
      </w:r>
      <w:r>
        <w:rPr>
          <w:rFonts w:hint="eastAsia"/>
        </w:rPr>
        <w:t>机会；促融资，整体</w:t>
      </w:r>
      <w:proofErr w:type="gramStart"/>
      <w:r>
        <w:rPr>
          <w:rFonts w:hint="eastAsia"/>
        </w:rPr>
        <w:t>考量</w:t>
      </w:r>
      <w:proofErr w:type="gramEnd"/>
      <w:r>
        <w:rPr>
          <w:rFonts w:hint="eastAsia"/>
        </w:rPr>
        <w:t>资金的调剂调度，结合政策与运营现状，研究制定多渠道的资金筹措和资金使用计划，统筹资金安排，提高公司资金使用效率，为公</w:t>
      </w:r>
      <w:r>
        <w:rPr>
          <w:rFonts w:hint="eastAsia"/>
        </w:rPr>
        <w:lastRenderedPageBreak/>
        <w:t>司生产经营与项目运营提供基础保障。</w:t>
      </w:r>
    </w:p>
    <w:p w14:paraId="13FE21D3" w14:textId="77777777" w:rsidR="00AE12E1" w:rsidRDefault="00AE12E1"/>
    <w:p w14:paraId="176452BA" w14:textId="77777777" w:rsidR="00AE12E1" w:rsidRDefault="00B80973">
      <w:pPr>
        <w:rPr>
          <w:b/>
          <w:bCs/>
        </w:rPr>
      </w:pPr>
      <w:r>
        <w:rPr>
          <w:rFonts w:hint="eastAsia"/>
          <w:b/>
          <w:bCs/>
        </w:rPr>
        <w:t>3.1</w:t>
      </w:r>
      <w:r>
        <w:rPr>
          <w:b/>
          <w:bCs/>
        </w:rPr>
        <w:t xml:space="preserve"> </w:t>
      </w:r>
      <w:r>
        <w:rPr>
          <w:rFonts w:hint="eastAsia"/>
          <w:b/>
          <w:bCs/>
        </w:rPr>
        <w:t>股本结构和规模</w:t>
      </w:r>
    </w:p>
    <w:p w14:paraId="7EC67073" w14:textId="77777777" w:rsidR="00AE12E1" w:rsidRDefault="00B80973">
      <w:pPr>
        <w:ind w:firstLineChars="200" w:firstLine="420"/>
      </w:pPr>
      <w:r>
        <w:rPr>
          <w:rFonts w:hint="eastAsia"/>
        </w:rPr>
        <w:t>公司总股本</w:t>
      </w:r>
      <w:r>
        <w:rPr>
          <w:rFonts w:hint="eastAsia"/>
        </w:rPr>
        <w:t>1</w:t>
      </w:r>
      <w:r>
        <w:rPr>
          <w:rFonts w:hint="eastAsia"/>
        </w:rPr>
        <w:t>亿元。其中，</w:t>
      </w:r>
      <w:r>
        <w:t>创业团队内部筹资</w:t>
      </w:r>
      <w:r>
        <w:rPr>
          <w:rFonts w:hint="eastAsia"/>
        </w:rPr>
        <w:t>主次资本</w:t>
      </w:r>
      <w:r>
        <w:t xml:space="preserve"> </w:t>
      </w:r>
      <w:r>
        <w:rPr>
          <w:rFonts w:hint="eastAsia"/>
        </w:rPr>
        <w:t>1000</w:t>
      </w:r>
      <w:r>
        <w:t xml:space="preserve"> </w:t>
      </w:r>
      <w:r>
        <w:t>万元（占总股本</w:t>
      </w:r>
      <w:r>
        <w:rPr>
          <w:rFonts w:hint="eastAsia"/>
        </w:rPr>
        <w:t xml:space="preserve"> 10</w:t>
      </w:r>
      <w:r>
        <w:t>%</w:t>
      </w:r>
      <w:r>
        <w:t>）</w:t>
      </w:r>
      <w:r>
        <w:rPr>
          <w:rFonts w:hint="eastAsia"/>
        </w:rPr>
        <w:t>，团队的四名初创成员袁妍、赵珮瑶、兰茜、马李豪为主要股东，持股比例分别为</w:t>
      </w:r>
      <w:r>
        <w:t>35%</w:t>
      </w:r>
      <w:r>
        <w:t>、</w:t>
      </w:r>
      <w:r>
        <w:t>29%</w:t>
      </w:r>
      <w:r>
        <w:t>、</w:t>
      </w:r>
      <w:r>
        <w:t>20%</w:t>
      </w:r>
      <w:r>
        <w:t>、</w:t>
      </w:r>
      <w:r>
        <w:t>16%</w:t>
      </w:r>
      <w:r>
        <w:rPr>
          <w:rFonts w:hint="eastAsia"/>
        </w:rPr>
        <w:t>；另外，根据公司主营业务，购买元宇宙专利技术的使用权占据着投资的主要部分，因此，该方面计划入股</w:t>
      </w:r>
      <w:r>
        <w:t xml:space="preserve"> </w:t>
      </w:r>
      <w:r>
        <w:rPr>
          <w:rFonts w:hint="eastAsia"/>
        </w:rPr>
        <w:t>7000</w:t>
      </w:r>
      <w:r>
        <w:t>万（占</w:t>
      </w:r>
      <w:r>
        <w:rPr>
          <w:rFonts w:hint="eastAsia"/>
        </w:rPr>
        <w:t>总股本</w:t>
      </w:r>
      <w:r>
        <w:rPr>
          <w:rFonts w:hint="eastAsia"/>
        </w:rPr>
        <w:t>35</w:t>
      </w:r>
      <w:r>
        <w:t>%</w:t>
      </w:r>
      <w:r>
        <w:t>）</w:t>
      </w:r>
      <w:r>
        <w:rPr>
          <w:rFonts w:hint="eastAsia"/>
        </w:rPr>
        <w:t>；同时，由于本企业处于创业初期，现金流短缺，需要外部融资的支持，因此，计划以股权出让的形式向风险投资公司融资</w:t>
      </w:r>
      <w:r>
        <w:rPr>
          <w:rFonts w:hint="eastAsia"/>
        </w:rPr>
        <w:t>1500</w:t>
      </w:r>
      <w:r>
        <w:t>万元（占</w:t>
      </w:r>
      <w:r>
        <w:rPr>
          <w:rFonts w:hint="eastAsia"/>
        </w:rPr>
        <w:t>总股本</w:t>
      </w:r>
      <w:r>
        <w:rPr>
          <w:rFonts w:hint="eastAsia"/>
        </w:rPr>
        <w:t>15</w:t>
      </w:r>
      <w:r>
        <w:t>%</w:t>
      </w:r>
      <w:r>
        <w:t>）</w:t>
      </w:r>
      <w:r>
        <w:rPr>
          <w:rFonts w:hint="eastAsia"/>
        </w:rPr>
        <w:t>；最后，本公司拟根据上海市大学生创业优惠政策，</w:t>
      </w:r>
      <w:r>
        <w:t>向</w:t>
      </w:r>
      <w:r>
        <w:rPr>
          <w:rFonts w:hint="eastAsia"/>
        </w:rPr>
        <w:t>上海</w:t>
      </w:r>
      <w:r>
        <w:t>市财政申请</w:t>
      </w:r>
      <w:r>
        <w:t xml:space="preserve"> </w:t>
      </w:r>
      <w:r>
        <w:rPr>
          <w:rFonts w:hint="eastAsia"/>
        </w:rPr>
        <w:t>500</w:t>
      </w:r>
      <w:r>
        <w:t>万元</w:t>
      </w:r>
      <w:r>
        <w:rPr>
          <w:rFonts w:hint="eastAsia"/>
        </w:rPr>
        <w:t>贷款（占总股本</w:t>
      </w:r>
      <w:r>
        <w:rPr>
          <w:rFonts w:hint="eastAsia"/>
        </w:rPr>
        <w:t>5%</w:t>
      </w:r>
      <w:r>
        <w:rPr>
          <w:rFonts w:hint="eastAsia"/>
        </w:rPr>
        <w:t>）</w:t>
      </w:r>
      <w:r>
        <w:t>，</w:t>
      </w:r>
      <w:r>
        <w:rPr>
          <w:rFonts w:hint="eastAsia"/>
        </w:rPr>
        <w:t>用以支持项目运作。股本结构图表展示如下：</w:t>
      </w:r>
    </w:p>
    <w:tbl>
      <w:tblPr>
        <w:tblW w:w="5000" w:type="pct"/>
        <w:tblLook w:val="04A0" w:firstRow="1" w:lastRow="0" w:firstColumn="1" w:lastColumn="0" w:noHBand="0" w:noVBand="1"/>
      </w:tblPr>
      <w:tblGrid>
        <w:gridCol w:w="2755"/>
        <w:gridCol w:w="1399"/>
        <w:gridCol w:w="1344"/>
        <w:gridCol w:w="1399"/>
        <w:gridCol w:w="1399"/>
      </w:tblGrid>
      <w:tr w:rsidR="00AE12E1" w14:paraId="2CA71DCB" w14:textId="77777777">
        <w:trPr>
          <w:trHeight w:val="278"/>
        </w:trPr>
        <w:tc>
          <w:tcPr>
            <w:tcW w:w="166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D4E58A"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 xml:space="preserve">　</w:t>
            </w:r>
          </w:p>
        </w:tc>
        <w:tc>
          <w:tcPr>
            <w:tcW w:w="843" w:type="pct"/>
            <w:tcBorders>
              <w:top w:val="single" w:sz="4" w:space="0" w:color="auto"/>
              <w:left w:val="nil"/>
              <w:bottom w:val="single" w:sz="4" w:space="0" w:color="auto"/>
              <w:right w:val="single" w:sz="4" w:space="0" w:color="auto"/>
            </w:tcBorders>
            <w:shd w:val="clear" w:color="auto" w:fill="auto"/>
            <w:noWrap/>
            <w:vAlign w:val="bottom"/>
          </w:tcPr>
          <w:p w14:paraId="0B76990E"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内部筹资</w:t>
            </w:r>
          </w:p>
        </w:tc>
        <w:tc>
          <w:tcPr>
            <w:tcW w:w="810" w:type="pct"/>
            <w:tcBorders>
              <w:top w:val="single" w:sz="4" w:space="0" w:color="auto"/>
              <w:left w:val="nil"/>
              <w:bottom w:val="single" w:sz="4" w:space="0" w:color="auto"/>
              <w:right w:val="single" w:sz="4" w:space="0" w:color="auto"/>
            </w:tcBorders>
            <w:shd w:val="clear" w:color="auto" w:fill="auto"/>
            <w:noWrap/>
            <w:vAlign w:val="bottom"/>
          </w:tcPr>
          <w:p w14:paraId="5FDA7138"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专利技术</w:t>
            </w:r>
          </w:p>
        </w:tc>
        <w:tc>
          <w:tcPr>
            <w:tcW w:w="843" w:type="pct"/>
            <w:tcBorders>
              <w:top w:val="single" w:sz="4" w:space="0" w:color="auto"/>
              <w:left w:val="nil"/>
              <w:bottom w:val="single" w:sz="4" w:space="0" w:color="auto"/>
              <w:right w:val="single" w:sz="4" w:space="0" w:color="auto"/>
            </w:tcBorders>
            <w:shd w:val="clear" w:color="auto" w:fill="auto"/>
            <w:noWrap/>
            <w:vAlign w:val="bottom"/>
          </w:tcPr>
          <w:p w14:paraId="5A3667F4"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风险投资</w:t>
            </w:r>
          </w:p>
        </w:tc>
        <w:tc>
          <w:tcPr>
            <w:tcW w:w="843" w:type="pct"/>
            <w:tcBorders>
              <w:top w:val="single" w:sz="4" w:space="0" w:color="auto"/>
              <w:left w:val="nil"/>
              <w:bottom w:val="single" w:sz="4" w:space="0" w:color="auto"/>
              <w:right w:val="single" w:sz="4" w:space="0" w:color="auto"/>
            </w:tcBorders>
            <w:shd w:val="clear" w:color="auto" w:fill="auto"/>
            <w:noWrap/>
            <w:vAlign w:val="bottom"/>
          </w:tcPr>
          <w:p w14:paraId="743EEA15"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政府补贴</w:t>
            </w:r>
          </w:p>
        </w:tc>
      </w:tr>
      <w:tr w:rsidR="00AE12E1" w14:paraId="0FFC1426" w14:textId="77777777">
        <w:trPr>
          <w:trHeight w:val="278"/>
        </w:trPr>
        <w:tc>
          <w:tcPr>
            <w:tcW w:w="1661" w:type="pct"/>
            <w:tcBorders>
              <w:top w:val="nil"/>
              <w:left w:val="single" w:sz="4" w:space="0" w:color="auto"/>
              <w:bottom w:val="single" w:sz="4" w:space="0" w:color="auto"/>
              <w:right w:val="single" w:sz="4" w:space="0" w:color="auto"/>
            </w:tcBorders>
            <w:shd w:val="clear" w:color="auto" w:fill="auto"/>
            <w:noWrap/>
            <w:vAlign w:val="bottom"/>
          </w:tcPr>
          <w:p w14:paraId="222EB975"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金额（单位：万元）</w:t>
            </w:r>
          </w:p>
        </w:tc>
        <w:tc>
          <w:tcPr>
            <w:tcW w:w="843" w:type="pct"/>
            <w:tcBorders>
              <w:top w:val="nil"/>
              <w:left w:val="nil"/>
              <w:bottom w:val="single" w:sz="4" w:space="0" w:color="auto"/>
              <w:right w:val="single" w:sz="4" w:space="0" w:color="auto"/>
            </w:tcBorders>
            <w:shd w:val="clear" w:color="auto" w:fill="auto"/>
            <w:noWrap/>
            <w:vAlign w:val="bottom"/>
          </w:tcPr>
          <w:p w14:paraId="758D86A2"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1000</w:t>
            </w:r>
          </w:p>
        </w:tc>
        <w:tc>
          <w:tcPr>
            <w:tcW w:w="810" w:type="pct"/>
            <w:tcBorders>
              <w:top w:val="nil"/>
              <w:left w:val="nil"/>
              <w:bottom w:val="single" w:sz="4" w:space="0" w:color="auto"/>
              <w:right w:val="single" w:sz="4" w:space="0" w:color="auto"/>
            </w:tcBorders>
            <w:shd w:val="clear" w:color="auto" w:fill="auto"/>
            <w:noWrap/>
            <w:vAlign w:val="bottom"/>
          </w:tcPr>
          <w:p w14:paraId="5172D97B"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7000</w:t>
            </w:r>
          </w:p>
        </w:tc>
        <w:tc>
          <w:tcPr>
            <w:tcW w:w="843" w:type="pct"/>
            <w:tcBorders>
              <w:top w:val="nil"/>
              <w:left w:val="nil"/>
              <w:bottom w:val="single" w:sz="4" w:space="0" w:color="auto"/>
              <w:right w:val="single" w:sz="4" w:space="0" w:color="auto"/>
            </w:tcBorders>
            <w:shd w:val="clear" w:color="auto" w:fill="auto"/>
            <w:noWrap/>
            <w:vAlign w:val="bottom"/>
          </w:tcPr>
          <w:p w14:paraId="3E0E1B6D"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1500</w:t>
            </w:r>
          </w:p>
        </w:tc>
        <w:tc>
          <w:tcPr>
            <w:tcW w:w="843" w:type="pct"/>
            <w:tcBorders>
              <w:top w:val="nil"/>
              <w:left w:val="nil"/>
              <w:bottom w:val="single" w:sz="4" w:space="0" w:color="auto"/>
              <w:right w:val="single" w:sz="4" w:space="0" w:color="auto"/>
            </w:tcBorders>
            <w:shd w:val="clear" w:color="auto" w:fill="auto"/>
            <w:noWrap/>
            <w:vAlign w:val="bottom"/>
          </w:tcPr>
          <w:p w14:paraId="3E3EF2F9"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r>
      <w:tr w:rsidR="00AE12E1" w14:paraId="3141435C" w14:textId="77777777">
        <w:trPr>
          <w:trHeight w:val="278"/>
        </w:trPr>
        <w:tc>
          <w:tcPr>
            <w:tcW w:w="1661" w:type="pct"/>
            <w:tcBorders>
              <w:top w:val="nil"/>
              <w:left w:val="single" w:sz="4" w:space="0" w:color="auto"/>
              <w:bottom w:val="single" w:sz="4" w:space="0" w:color="auto"/>
              <w:right w:val="single" w:sz="4" w:space="0" w:color="auto"/>
            </w:tcBorders>
            <w:shd w:val="clear" w:color="auto" w:fill="auto"/>
            <w:noWrap/>
            <w:vAlign w:val="bottom"/>
          </w:tcPr>
          <w:p w14:paraId="549DB98A" w14:textId="77777777" w:rsidR="00AE12E1" w:rsidRDefault="00B80973">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比例</w:t>
            </w:r>
          </w:p>
        </w:tc>
        <w:tc>
          <w:tcPr>
            <w:tcW w:w="843" w:type="pct"/>
            <w:tcBorders>
              <w:top w:val="nil"/>
              <w:left w:val="nil"/>
              <w:bottom w:val="single" w:sz="4" w:space="0" w:color="auto"/>
              <w:right w:val="single" w:sz="4" w:space="0" w:color="auto"/>
            </w:tcBorders>
            <w:shd w:val="clear" w:color="auto" w:fill="auto"/>
            <w:noWrap/>
            <w:vAlign w:val="bottom"/>
          </w:tcPr>
          <w:p w14:paraId="41E3C4C4"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10%</w:t>
            </w:r>
          </w:p>
        </w:tc>
        <w:tc>
          <w:tcPr>
            <w:tcW w:w="810" w:type="pct"/>
            <w:tcBorders>
              <w:top w:val="nil"/>
              <w:left w:val="nil"/>
              <w:bottom w:val="single" w:sz="4" w:space="0" w:color="auto"/>
              <w:right w:val="single" w:sz="4" w:space="0" w:color="auto"/>
            </w:tcBorders>
            <w:shd w:val="clear" w:color="auto" w:fill="auto"/>
            <w:noWrap/>
            <w:vAlign w:val="bottom"/>
          </w:tcPr>
          <w:p w14:paraId="5A0060AD"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70%</w:t>
            </w:r>
          </w:p>
        </w:tc>
        <w:tc>
          <w:tcPr>
            <w:tcW w:w="843" w:type="pct"/>
            <w:tcBorders>
              <w:top w:val="nil"/>
              <w:left w:val="nil"/>
              <w:bottom w:val="single" w:sz="4" w:space="0" w:color="auto"/>
              <w:right w:val="single" w:sz="4" w:space="0" w:color="auto"/>
            </w:tcBorders>
            <w:shd w:val="clear" w:color="auto" w:fill="auto"/>
            <w:noWrap/>
            <w:vAlign w:val="bottom"/>
          </w:tcPr>
          <w:p w14:paraId="5B89C601"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843" w:type="pct"/>
            <w:tcBorders>
              <w:top w:val="nil"/>
              <w:left w:val="nil"/>
              <w:bottom w:val="single" w:sz="4" w:space="0" w:color="auto"/>
              <w:right w:val="single" w:sz="4" w:space="0" w:color="auto"/>
            </w:tcBorders>
            <w:shd w:val="clear" w:color="auto" w:fill="auto"/>
            <w:noWrap/>
            <w:vAlign w:val="bottom"/>
          </w:tcPr>
          <w:p w14:paraId="4F7E098D" w14:textId="77777777" w:rsidR="00AE12E1" w:rsidRDefault="00B80973">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r>
    </w:tbl>
    <w:p w14:paraId="2FC1F1CC" w14:textId="77777777" w:rsidR="00AE12E1" w:rsidRDefault="00B80973">
      <w:pPr>
        <w:pStyle w:val="a9"/>
        <w:ind w:left="375" w:firstLineChars="0" w:firstLine="0"/>
        <w:jc w:val="center"/>
        <w:rPr>
          <w:sz w:val="18"/>
          <w:szCs w:val="18"/>
        </w:rPr>
      </w:pPr>
      <w:r>
        <w:rPr>
          <w:rFonts w:hint="eastAsia"/>
          <w:sz w:val="18"/>
          <w:szCs w:val="18"/>
        </w:rPr>
        <w:t>表</w:t>
      </w:r>
      <w:r>
        <w:rPr>
          <w:rFonts w:hint="eastAsia"/>
          <w:sz w:val="18"/>
          <w:szCs w:val="18"/>
        </w:rPr>
        <w:t>4</w:t>
      </w:r>
      <w:r>
        <w:rPr>
          <w:sz w:val="18"/>
          <w:szCs w:val="18"/>
        </w:rPr>
        <w:t xml:space="preserve"> </w:t>
      </w:r>
      <w:r>
        <w:rPr>
          <w:rFonts w:hint="eastAsia"/>
          <w:sz w:val="18"/>
          <w:szCs w:val="18"/>
        </w:rPr>
        <w:t>本公司股本结构表</w:t>
      </w:r>
    </w:p>
    <w:p w14:paraId="3E65DCA0" w14:textId="77777777" w:rsidR="00AE12E1" w:rsidRDefault="00B80973">
      <w:pPr>
        <w:jc w:val="center"/>
      </w:pPr>
      <w:r>
        <w:rPr>
          <w:noProof/>
        </w:rPr>
        <w:drawing>
          <wp:inline distT="0" distB="0" distL="0" distR="0" wp14:anchorId="496625B7" wp14:editId="6EC1C388">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CDC4D5" w14:textId="77777777" w:rsidR="00AE12E1" w:rsidRDefault="00B80973">
      <w:pPr>
        <w:pStyle w:val="a9"/>
        <w:ind w:left="375" w:firstLineChars="0" w:firstLine="0"/>
        <w:jc w:val="center"/>
        <w:rPr>
          <w:sz w:val="18"/>
          <w:szCs w:val="18"/>
        </w:rPr>
      </w:pPr>
      <w:r>
        <w:rPr>
          <w:rFonts w:hint="eastAsia"/>
          <w:sz w:val="18"/>
          <w:szCs w:val="18"/>
        </w:rPr>
        <w:t>图</w:t>
      </w:r>
      <w:r>
        <w:rPr>
          <w:rFonts w:hint="eastAsia"/>
          <w:sz w:val="18"/>
          <w:szCs w:val="18"/>
        </w:rPr>
        <w:t>9</w:t>
      </w:r>
      <w:r>
        <w:rPr>
          <w:sz w:val="18"/>
          <w:szCs w:val="18"/>
        </w:rPr>
        <w:t xml:space="preserve"> </w:t>
      </w:r>
      <w:r>
        <w:rPr>
          <w:rFonts w:hint="eastAsia"/>
          <w:sz w:val="18"/>
          <w:szCs w:val="18"/>
        </w:rPr>
        <w:t>本公司股本结构图</w:t>
      </w:r>
    </w:p>
    <w:p w14:paraId="45050FFF" w14:textId="77777777" w:rsidR="00AE12E1" w:rsidRDefault="00AE12E1">
      <w:pPr>
        <w:pStyle w:val="a9"/>
        <w:ind w:left="375" w:firstLineChars="0" w:firstLine="0"/>
        <w:jc w:val="center"/>
        <w:rPr>
          <w:sz w:val="18"/>
          <w:szCs w:val="18"/>
        </w:rPr>
      </w:pPr>
    </w:p>
    <w:p w14:paraId="6E4383B3" w14:textId="77777777" w:rsidR="00AE12E1" w:rsidRDefault="00B80973">
      <w:pPr>
        <w:rPr>
          <w:b/>
          <w:bCs/>
        </w:rPr>
      </w:pPr>
      <w:r>
        <w:rPr>
          <w:rFonts w:hint="eastAsia"/>
          <w:b/>
          <w:bCs/>
        </w:rPr>
        <w:t>3.2</w:t>
      </w:r>
      <w:r>
        <w:rPr>
          <w:b/>
          <w:bCs/>
        </w:rPr>
        <w:t xml:space="preserve"> </w:t>
      </w:r>
      <w:r>
        <w:rPr>
          <w:rFonts w:hint="eastAsia"/>
          <w:b/>
          <w:bCs/>
        </w:rPr>
        <w:t>融资风险</w:t>
      </w:r>
    </w:p>
    <w:p w14:paraId="2F20509B" w14:textId="77777777" w:rsidR="00AE12E1" w:rsidRDefault="00B80973">
      <w:pPr>
        <w:ind w:firstLineChars="200" w:firstLine="420"/>
      </w:pPr>
      <w:r>
        <w:rPr>
          <w:rFonts w:hint="eastAsia"/>
        </w:rPr>
        <w:t>本公司仅与经认可的、信誉良好的第三</w:t>
      </w:r>
      <w:proofErr w:type="gramStart"/>
      <w:r>
        <w:rPr>
          <w:rFonts w:hint="eastAsia"/>
        </w:rPr>
        <w:t>方商业</w:t>
      </w:r>
      <w:proofErr w:type="gramEnd"/>
      <w:r>
        <w:rPr>
          <w:rFonts w:hint="eastAsia"/>
        </w:rPr>
        <w:t>客户进行交易。按照本公司的政策，需对所有要求采用信用方式进行交易的商业客户进行信用审核。此外，本公司对应收账款余额进行动态持续监控，以确保本公司不致面临重大坏账风险。对于未采用相关经营单位的记账本位币结算的交易，除非本公司信用控制部门特别批准，否则本公司不提供信用交易条件，这有效降低了在公司成立初期由于汇率波动等不可抗风险造成的破产成本。本公司其他金融资产包括货币资金、其他应收款等，其信用风险源自交易对手违约，最大风险敞口等于这些工具的账面金额。</w:t>
      </w:r>
    </w:p>
    <w:p w14:paraId="05C1176A" w14:textId="77777777" w:rsidR="00AE12E1" w:rsidRDefault="00B80973">
      <w:pPr>
        <w:ind w:firstLineChars="200" w:firstLine="420"/>
      </w:pPr>
      <w:r>
        <w:rPr>
          <w:rFonts w:hint="eastAsia"/>
        </w:rPr>
        <w:t>由于本公司仅与经认可</w:t>
      </w:r>
      <w:r>
        <w:rPr>
          <w:rFonts w:hint="eastAsia"/>
        </w:rPr>
        <w:t>的且信誉良好的第三方进行交易，所以无需担保物。信用风险集中按照客户进行管理，本公司对应收账款余额无需持有任何担保物或其他信用增级。</w:t>
      </w:r>
    </w:p>
    <w:p w14:paraId="5BABED76" w14:textId="77777777" w:rsidR="00AE12E1" w:rsidRDefault="00B80973">
      <w:r>
        <w:rPr>
          <w:rFonts w:hint="eastAsia"/>
        </w:rPr>
        <w:t>管理流动风险时，本公司保持管理层认为充分的现金及现金等价物并对其进行监控，以满足本公司的日常经营需要，并降低现金流量的影响。本公司管理层对银行借款的使用情况进行监控并确保遵守借款协议。</w:t>
      </w:r>
    </w:p>
    <w:p w14:paraId="6DC1AB4B" w14:textId="77777777" w:rsidR="00AE12E1" w:rsidRDefault="00B80973">
      <w:pPr>
        <w:ind w:firstLineChars="200" w:firstLine="420"/>
      </w:pPr>
      <w:r>
        <w:rPr>
          <w:rFonts w:hint="eastAsia"/>
        </w:rPr>
        <w:t>本公司将银行借款作为补充资金来源。预计未来五年本公司流动金融负债未超过流动金</w:t>
      </w:r>
      <w:r>
        <w:rPr>
          <w:rFonts w:hint="eastAsia"/>
        </w:rPr>
        <w:lastRenderedPageBreak/>
        <w:t>融资产，流动比率小于</w:t>
      </w:r>
      <w:r>
        <w:t>100%</w:t>
      </w:r>
      <w:r>
        <w:t>。管理层有信心如期偿还到期借款。综上所述，本公司管理层认为本公司所承担的流动风险较低，对本</w:t>
      </w:r>
      <w:r>
        <w:t>公司的经营和财务报表不构成重大影响，本财务报表系在公司持续经营假设的基础上编制。</w:t>
      </w:r>
    </w:p>
    <w:p w14:paraId="39D55DDF" w14:textId="77777777" w:rsidR="00AE12E1" w:rsidRDefault="00AE12E1">
      <w:pPr>
        <w:rPr>
          <w:b/>
          <w:bCs/>
        </w:rPr>
      </w:pPr>
    </w:p>
    <w:p w14:paraId="497F1724" w14:textId="77777777" w:rsidR="00AE12E1" w:rsidRDefault="00B80973">
      <w:pPr>
        <w:rPr>
          <w:b/>
          <w:bCs/>
        </w:rPr>
      </w:pPr>
      <w:r>
        <w:rPr>
          <w:rFonts w:hint="eastAsia"/>
          <w:b/>
          <w:bCs/>
        </w:rPr>
        <w:t>3.3</w:t>
      </w:r>
      <w:r>
        <w:rPr>
          <w:b/>
          <w:bCs/>
        </w:rPr>
        <w:t xml:space="preserve"> </w:t>
      </w:r>
      <w:r>
        <w:rPr>
          <w:rFonts w:hint="eastAsia"/>
          <w:b/>
          <w:bCs/>
        </w:rPr>
        <w:t>未来融资计划</w:t>
      </w:r>
    </w:p>
    <w:p w14:paraId="2BA7A5D5" w14:textId="77777777" w:rsidR="00AE12E1" w:rsidRDefault="00B80973">
      <w:pPr>
        <w:rPr>
          <w:b/>
          <w:bCs/>
        </w:rPr>
      </w:pPr>
      <w:r>
        <w:rPr>
          <w:rFonts w:hint="eastAsia"/>
          <w:b/>
          <w:bCs/>
        </w:rPr>
        <w:t>3.3.1</w:t>
      </w:r>
      <w:r>
        <w:rPr>
          <w:b/>
          <w:bCs/>
        </w:rPr>
        <w:t xml:space="preserve"> </w:t>
      </w:r>
      <w:r>
        <w:rPr>
          <w:rFonts w:hint="eastAsia"/>
          <w:b/>
          <w:bCs/>
        </w:rPr>
        <w:t>分阶段融资计划</w:t>
      </w:r>
    </w:p>
    <w:p w14:paraId="5991A97B" w14:textId="77777777" w:rsidR="00AE12E1" w:rsidRDefault="00B80973">
      <w:pPr>
        <w:ind w:firstLineChars="200" w:firstLine="420"/>
      </w:pPr>
      <w:r>
        <w:rPr>
          <w:rFonts w:hint="eastAsia"/>
        </w:rPr>
        <w:t>基于公司总体战略，考虑外部环境和行业状况，公司的融资分为以下多个阶段：</w:t>
      </w:r>
    </w:p>
    <w:p w14:paraId="441FAA00" w14:textId="77777777" w:rsidR="00AE12E1" w:rsidRDefault="00B80973">
      <w:pPr>
        <w:ind w:firstLineChars="200" w:firstLine="420"/>
      </w:pPr>
      <w:r>
        <w:t>1</w:t>
      </w:r>
      <w:r>
        <w:t>）</w:t>
      </w:r>
      <w:r>
        <w:rPr>
          <w:rFonts w:hint="eastAsia"/>
        </w:rPr>
        <w:t>初创期</w:t>
      </w:r>
      <w:r>
        <w:t>（</w:t>
      </w:r>
      <w:r>
        <w:t>2022—2027</w:t>
      </w:r>
      <w:r>
        <w:t>年）：起步于松江大学城，逐步打开市场，扩大用户基数</w:t>
      </w:r>
    </w:p>
    <w:p w14:paraId="0DC9A56F" w14:textId="77777777" w:rsidR="00AE12E1" w:rsidRDefault="00B80973">
      <w:pPr>
        <w:ind w:firstLineChars="200" w:firstLine="420"/>
      </w:pPr>
      <w:r>
        <w:rPr>
          <w:rFonts w:hint="eastAsia"/>
        </w:rPr>
        <w:t>上海</w:t>
      </w:r>
      <w:proofErr w:type="gramStart"/>
      <w:r>
        <w:rPr>
          <w:rFonts w:hint="eastAsia"/>
        </w:rPr>
        <w:t>暄旖攸</w:t>
      </w:r>
      <w:proofErr w:type="gramEnd"/>
      <w:r>
        <w:rPr>
          <w:rFonts w:hint="eastAsia"/>
        </w:rPr>
        <w:t>商贸有限公司于</w:t>
      </w:r>
      <w:r>
        <w:t>2021</w:t>
      </w:r>
      <w:r>
        <w:t>年</w:t>
      </w:r>
      <w:r>
        <w:t>12</w:t>
      </w:r>
      <w:r>
        <w:t>月在上海市松江区成立，注册资金</w:t>
      </w:r>
      <w:r>
        <w:t>3</w:t>
      </w:r>
      <w:r>
        <w:t>万元。其中由上海对外经贸大学、上海立信会计金融学院和华东政法大学的四名在校大学生自筹资金入股。该笔资金用于初步进行在松江大学城商场中线下实体店的相关运营，并树立文创艺术品电子商务系统的口碑，力求迅速打开市场，为进一步扩大产品打下用户基础。</w:t>
      </w:r>
    </w:p>
    <w:p w14:paraId="0BDC483A" w14:textId="77777777" w:rsidR="00AE12E1" w:rsidRDefault="00B80973">
      <w:pPr>
        <w:ind w:firstLineChars="200" w:firstLine="420"/>
      </w:pPr>
      <w:r>
        <w:rPr>
          <w:rFonts w:hint="eastAsia"/>
        </w:rPr>
        <w:t>上海是中华人民共和国直辖市、国家中心城市，也是中国经济、文化、</w:t>
      </w:r>
      <w:r>
        <w:t xml:space="preserve"> </w:t>
      </w:r>
      <w:r>
        <w:rPr>
          <w:rFonts w:hint="eastAsia"/>
        </w:rPr>
        <w:t>教育和国际交流中心，同时上海也有着辉煌的艺术成就。这样一个有</w:t>
      </w:r>
      <w:proofErr w:type="gramStart"/>
      <w:r>
        <w:t xml:space="preserve"> </w:t>
      </w:r>
      <w:r>
        <w:rPr>
          <w:rFonts w:hint="eastAsia"/>
        </w:rPr>
        <w:t>着</w:t>
      </w:r>
      <w:proofErr w:type="gramEnd"/>
      <w:r>
        <w:rPr>
          <w:rFonts w:hint="eastAsia"/>
        </w:rPr>
        <w:t>悠久历史和文化底蕴的城市对公司发展有极大的帮助。此外，上海的总体经济发展水平在中国大陆地区处于领先</w:t>
      </w:r>
      <w:r>
        <w:rPr>
          <w:rFonts w:hint="eastAsia"/>
        </w:rPr>
        <w:t>地位，人民生活富裕，</w:t>
      </w:r>
      <w:r>
        <w:t xml:space="preserve"> </w:t>
      </w:r>
      <w:r>
        <w:rPr>
          <w:rFonts w:hint="eastAsia"/>
        </w:rPr>
        <w:t>有相应的经济基础来享受精神文化生活，他们对精神层面上的享受需求远高于其它经济相对欠发达地区。因此，公司在上海推广文创艺术品电子商务系统有着广阔的前景。</w:t>
      </w:r>
      <w:r>
        <w:t xml:space="preserve"> </w:t>
      </w:r>
    </w:p>
    <w:p w14:paraId="1CCB95B1" w14:textId="77777777" w:rsidR="00AE12E1" w:rsidRDefault="00B80973">
      <w:pPr>
        <w:ind w:firstLineChars="200" w:firstLine="420"/>
        <w:rPr>
          <w:b/>
          <w:bCs/>
        </w:rPr>
      </w:pPr>
      <w:r>
        <w:rPr>
          <w:rFonts w:hint="eastAsia"/>
        </w:rPr>
        <w:t>2</w:t>
      </w:r>
      <w:r>
        <w:t>）发展期（</w:t>
      </w:r>
      <w:r>
        <w:t xml:space="preserve">2027—2029 </w:t>
      </w:r>
      <w:r>
        <w:t>年）：以上海市为中心，逐步向全国拓展，扩大经营规模</w:t>
      </w:r>
      <w:r>
        <w:t xml:space="preserve"> </w:t>
      </w:r>
    </w:p>
    <w:p w14:paraId="493A58C1" w14:textId="77777777" w:rsidR="00AE12E1" w:rsidRDefault="00B80973">
      <w:pPr>
        <w:ind w:firstLineChars="200" w:firstLine="420"/>
      </w:pPr>
      <w:r>
        <w:rPr>
          <w:rFonts w:hint="eastAsia"/>
        </w:rPr>
        <w:t>实体</w:t>
      </w:r>
      <w:proofErr w:type="gramStart"/>
      <w:r>
        <w:rPr>
          <w:rFonts w:hint="eastAsia"/>
        </w:rPr>
        <w:t>店未来</w:t>
      </w:r>
      <w:proofErr w:type="gramEnd"/>
      <w:r>
        <w:rPr>
          <w:rFonts w:hint="eastAsia"/>
        </w:rPr>
        <w:t>的发展，或将减少鲜花资材本身的收入，而转向“美</w:t>
      </w:r>
      <w:r>
        <w:t xml:space="preserve"> </w:t>
      </w:r>
      <w:r>
        <w:rPr>
          <w:rFonts w:hint="eastAsia"/>
        </w:rPr>
        <w:t>学生活馆”或“礼品店”等新颖的概念发展，也会着重打造自己的品牌概念，同时也要求花店的经营方向，更精致高端，更丰富多元。</w:t>
      </w:r>
      <w:r>
        <w:t xml:space="preserve"> </w:t>
      </w:r>
    </w:p>
    <w:p w14:paraId="5E6BB974" w14:textId="77777777" w:rsidR="00AE12E1" w:rsidRDefault="00B80973">
      <w:pPr>
        <w:ind w:firstLineChars="200" w:firstLine="420"/>
      </w:pPr>
      <w:r>
        <w:rPr>
          <w:rFonts w:hint="eastAsia"/>
        </w:rPr>
        <w:t>公司出让</w:t>
      </w:r>
      <w:r>
        <w:t xml:space="preserve"> 15%</w:t>
      </w:r>
      <w:r>
        <w:t>股份，引进创业投资公司风险资金，风险资金分两次</w:t>
      </w:r>
      <w:r>
        <w:rPr>
          <w:rFonts w:hint="eastAsia"/>
        </w:rPr>
        <w:t>到账，拟</w:t>
      </w:r>
      <w:r>
        <w:rPr>
          <w:rFonts w:hint="eastAsia"/>
        </w:rPr>
        <w:t>用于与北京、上海两地的艺术家签约，文创艺术品的保管、对艺术家的包装及市场推广等。</w:t>
      </w:r>
      <w:r>
        <w:t xml:space="preserve"> </w:t>
      </w:r>
    </w:p>
    <w:p w14:paraId="65B69312" w14:textId="77777777" w:rsidR="00AE12E1" w:rsidRDefault="00B80973">
      <w:pPr>
        <w:ind w:firstLineChars="200" w:firstLine="420"/>
        <w:rPr>
          <w:b/>
          <w:bCs/>
        </w:rPr>
      </w:pPr>
      <w:r>
        <w:rPr>
          <w:rFonts w:hint="eastAsia"/>
        </w:rPr>
        <w:t>3</w:t>
      </w:r>
      <w:r>
        <w:t>）扩张期（</w:t>
      </w:r>
      <w:r>
        <w:t xml:space="preserve">2029-2032 </w:t>
      </w:r>
      <w:r>
        <w:t>年）：提升品牌形象，提高公司美誉度，完成公司上市计划</w:t>
      </w:r>
      <w:r>
        <w:rPr>
          <w:b/>
          <w:bCs/>
        </w:rPr>
        <w:t xml:space="preserve"> </w:t>
      </w:r>
    </w:p>
    <w:p w14:paraId="28350404" w14:textId="77777777" w:rsidR="00AE12E1" w:rsidRDefault="00B80973">
      <w:pPr>
        <w:ind w:firstLineChars="200" w:firstLine="420"/>
      </w:pPr>
      <w:r>
        <w:rPr>
          <w:rFonts w:hint="eastAsia"/>
        </w:rPr>
        <w:t>开拓国外市场，在扩张期，进行品牌拓展，更加重视个人品牌，在</w:t>
      </w:r>
      <w:proofErr w:type="gramStart"/>
      <w:r>
        <w:rPr>
          <w:rFonts w:hint="eastAsia"/>
        </w:rPr>
        <w:t>一</w:t>
      </w:r>
      <w:proofErr w:type="gramEnd"/>
      <w:r>
        <w:rPr>
          <w:rFonts w:hint="eastAsia"/>
        </w:rPr>
        <w:t>二线城市开</w:t>
      </w:r>
      <w:r>
        <w:t xml:space="preserve"> </w:t>
      </w:r>
      <w:r>
        <w:t>始以打造花艺师或文创设计师个人品牌为名的花店与美学生活馆；此外，公司在稳定国内发展的同时，积极为公司开拓国外市场做准备。另外公司将进行股份制改造，增加资产流动性，提高公司知名度，最后完成上市。发展期中公司规模不断扩大，在此阶段，公司前期将致力于稳定</w:t>
      </w:r>
      <w:r>
        <w:t xml:space="preserve"> </w:t>
      </w:r>
      <w:r>
        <w:t>国内市场，为各个省</w:t>
      </w:r>
      <w:r>
        <w:t>市提供技术支持、人力支持和资金支持，促进其它省份分店的成熟发展。</w:t>
      </w:r>
    </w:p>
    <w:p w14:paraId="14E7C534" w14:textId="77777777" w:rsidR="00AE12E1" w:rsidRDefault="00B80973">
      <w:pPr>
        <w:ind w:firstLineChars="200" w:firstLine="420"/>
      </w:pPr>
      <w:r>
        <w:rPr>
          <w:rFonts w:hint="eastAsia"/>
        </w:rPr>
        <w:t>在国内市场逐步趋于稳定的前提下，公司将积极开拓国外市场，计划首先在美国纽约、法国巴黎、英国伦敦等经济发达、文化水平较高地区试点，然后再向更多国家和地区延伸。在</w:t>
      </w:r>
      <w:r>
        <w:t xml:space="preserve"> 2032 </w:t>
      </w:r>
      <w:r>
        <w:t>年，公司将进行股份制改造，最后将进行股份制改革，最后如期完成上市协定，完善资本的退出机制。</w:t>
      </w:r>
    </w:p>
    <w:p w14:paraId="1A8514C4" w14:textId="77777777" w:rsidR="00AE12E1" w:rsidRDefault="00B80973">
      <w:pPr>
        <w:ind w:firstLineChars="200" w:firstLine="420"/>
      </w:pPr>
      <w:r>
        <w:rPr>
          <w:rFonts w:hint="eastAsia"/>
        </w:rPr>
        <w:t>风险投资的退出主要有公开上市（</w:t>
      </w:r>
      <w:r>
        <w:t>IPO</w:t>
      </w:r>
      <w:r>
        <w:t>，即</w:t>
      </w:r>
      <w:r>
        <w:t xml:space="preserve"> Initial Public Offering</w:t>
      </w:r>
      <w:r>
        <w:t>）、出售、兼并，资产清算、出售股权和管理层回购等</w:t>
      </w:r>
      <w:r>
        <w:rPr>
          <w:rFonts w:hint="eastAsia"/>
        </w:rPr>
        <w:t>方式</w:t>
      </w:r>
      <w:r>
        <w:t>。考虑到</w:t>
      </w:r>
      <w:r>
        <w:rPr>
          <w:rFonts w:hint="eastAsia"/>
        </w:rPr>
        <w:t>本公司的主营业务性质及实际情况，公开</w:t>
      </w:r>
      <w:r>
        <w:rPr>
          <w:rFonts w:hint="eastAsia"/>
        </w:rPr>
        <w:t>上市的方式比较适合我们公司。</w:t>
      </w:r>
    </w:p>
    <w:p w14:paraId="7E7A5181" w14:textId="77777777" w:rsidR="00AE12E1" w:rsidRDefault="00B80973">
      <w:pPr>
        <w:ind w:firstLineChars="200" w:firstLine="420"/>
      </w:pPr>
      <w:r>
        <w:rPr>
          <w:rFonts w:hint="eastAsia"/>
        </w:rPr>
        <w:t>公开上市（</w:t>
      </w:r>
      <w:r>
        <w:t>IPO</w:t>
      </w:r>
      <w:r>
        <w:t>）</w:t>
      </w:r>
      <w:r>
        <w:rPr>
          <w:rFonts w:hint="eastAsia"/>
        </w:rPr>
        <w:t>即</w:t>
      </w:r>
      <w:r>
        <w:t>首次公开发行，是将风险企业改组为上市公司，风险投资的股份通过资本市场第一次向公众发行，从而实现投资回收和资本增值。</w:t>
      </w:r>
      <w:r>
        <w:t xml:space="preserve">IPO </w:t>
      </w:r>
      <w:r>
        <w:t>通常是风险投资最佳的退出方式。</w:t>
      </w:r>
      <w:r>
        <w:t>IPO</w:t>
      </w:r>
      <w:r>
        <w:t>可以使风险资本家持有的不可流通的股份转变为上市公司股票，实现盈利性和流动性，而且这种方式的收益</w:t>
      </w:r>
      <w:proofErr w:type="gramStart"/>
      <w:r>
        <w:t>性普遍</w:t>
      </w:r>
      <w:proofErr w:type="gramEnd"/>
      <w:r>
        <w:t>较高；</w:t>
      </w:r>
      <w:r>
        <w:t xml:space="preserve">IPO </w:t>
      </w:r>
      <w:r>
        <w:t>是金融市场对该公司生产业绩的一种确认，而且这种方式保持了公司的独立性，还有助于企业形象的树立以及保持持续的融资通道。</w:t>
      </w:r>
    </w:p>
    <w:p w14:paraId="3595CBCF" w14:textId="77777777" w:rsidR="00AE12E1" w:rsidRDefault="00B80973">
      <w:pPr>
        <w:ind w:firstLineChars="200" w:firstLine="420"/>
      </w:pPr>
      <w:r>
        <w:t>由于主板市场和上市标准较高，监管严格，而风险企业一般是中、小高科技企业，</w:t>
      </w:r>
      <w:r>
        <w:t>在连续经营历史、净资产、利润额等方面均难以达到要求，因此在主板市场上上市通常比较困难，</w:t>
      </w:r>
      <w:r>
        <w:rPr>
          <w:rFonts w:hint="eastAsia"/>
        </w:rPr>
        <w:lastRenderedPageBreak/>
        <w:t>故</w:t>
      </w:r>
      <w:r>
        <w:t>设立风险</w:t>
      </w:r>
      <w:r>
        <w:rPr>
          <w:rFonts w:hint="eastAsia"/>
        </w:rPr>
        <w:t>退出</w:t>
      </w:r>
      <w:r>
        <w:t>机制</w:t>
      </w:r>
      <w:r>
        <w:rPr>
          <w:rFonts w:hint="eastAsia"/>
        </w:rPr>
        <w:t>。</w:t>
      </w:r>
    </w:p>
    <w:p w14:paraId="4EB8871C" w14:textId="77777777" w:rsidR="00AE12E1" w:rsidRDefault="00B80973">
      <w:pPr>
        <w:ind w:firstLineChars="200" w:firstLine="420"/>
      </w:pPr>
      <w:r>
        <w:rPr>
          <w:rFonts w:hint="eastAsia"/>
        </w:rPr>
        <w:t>本公司采用循环流动性计划工具管理资金短缺风险，既考虑其金融工具的到期日，也考虑本公司运营产生的预计现金流量。通过银行借款的融资手段保持融资的持续性与灵活性的平衡。</w:t>
      </w:r>
    </w:p>
    <w:p w14:paraId="18241EE2" w14:textId="77777777" w:rsidR="00AE12E1" w:rsidRDefault="00AE12E1">
      <w:pPr>
        <w:rPr>
          <w:b/>
          <w:bCs/>
        </w:rPr>
      </w:pPr>
    </w:p>
    <w:p w14:paraId="3CC1722F" w14:textId="77777777" w:rsidR="00AE12E1" w:rsidRDefault="00B80973">
      <w:pPr>
        <w:rPr>
          <w:b/>
          <w:bCs/>
        </w:rPr>
      </w:pPr>
      <w:r>
        <w:rPr>
          <w:rFonts w:hint="eastAsia"/>
          <w:b/>
          <w:bCs/>
        </w:rPr>
        <w:t>3.3.2</w:t>
      </w:r>
      <w:r>
        <w:rPr>
          <w:b/>
          <w:bCs/>
        </w:rPr>
        <w:t xml:space="preserve"> </w:t>
      </w:r>
      <w:r>
        <w:rPr>
          <w:rFonts w:hint="eastAsia"/>
          <w:b/>
          <w:bCs/>
        </w:rPr>
        <w:t>分项目融资计划</w:t>
      </w:r>
    </w:p>
    <w:p w14:paraId="644643BF" w14:textId="77777777" w:rsidR="00AE12E1" w:rsidRDefault="00B80973">
      <w:pPr>
        <w:ind w:firstLineChars="200" w:firstLine="420"/>
        <w:rPr>
          <w:b/>
          <w:bCs/>
        </w:rPr>
      </w:pPr>
      <w:r>
        <w:t>1</w:t>
      </w:r>
      <w:r>
        <w:t>）</w:t>
      </w:r>
      <w:r>
        <w:rPr>
          <w:rFonts w:hint="eastAsia"/>
        </w:rPr>
        <w:t>应收款项融资</w:t>
      </w:r>
    </w:p>
    <w:p w14:paraId="76A1EBF2" w14:textId="77777777" w:rsidR="00AE12E1" w:rsidRDefault="00B80973">
      <w:pPr>
        <w:ind w:firstLineChars="200" w:firstLine="420"/>
      </w:pPr>
      <w:r>
        <w:rPr>
          <w:rFonts w:hint="eastAsia"/>
        </w:rPr>
        <w:t>本公司的应收账款融资的具体形式为将持有的应收款项，以贴现或背书等形式转让。且该类业务较为频繁、涉及金额也较大的，其管理业务模式实质为既收取合同现金流量又出售，按照金融工具准则的相关规定，将其分类至以公允价值计量变动且其变动计入其他综合收益的金融资产，该方式也将作为重要的融资手段之一。</w:t>
      </w:r>
    </w:p>
    <w:p w14:paraId="3CE5A2E4" w14:textId="77777777" w:rsidR="00AE12E1" w:rsidRDefault="00B80973">
      <w:pPr>
        <w:ind w:firstLineChars="200" w:firstLine="420"/>
        <w:rPr>
          <w:b/>
          <w:bCs/>
        </w:rPr>
      </w:pPr>
      <w:r>
        <w:rPr>
          <w:rFonts w:hint="eastAsia"/>
        </w:rPr>
        <w:t>2</w:t>
      </w:r>
      <w:r>
        <w:t>）</w:t>
      </w:r>
      <w:r>
        <w:rPr>
          <w:rFonts w:hint="eastAsia"/>
        </w:rPr>
        <w:t>借款融资</w:t>
      </w:r>
    </w:p>
    <w:p w14:paraId="50A6E7F5" w14:textId="77777777" w:rsidR="00AE12E1" w:rsidRDefault="00B80973">
      <w:pPr>
        <w:ind w:firstLineChars="200" w:firstLine="420"/>
      </w:pPr>
      <w:r>
        <w:rPr>
          <w:rFonts w:hint="eastAsia"/>
        </w:rPr>
        <w:t>本公司因利率变动引起金融工具公允价值变动的风险主要来自固定利率的银行借款，考虑到我国利率波动幅度较小，因此本公司管理层认为公允利率风险并不重大，本公司目前并无利率对冲的政策。</w:t>
      </w:r>
    </w:p>
    <w:p w14:paraId="2E1D87C2" w14:textId="77777777" w:rsidR="00AE12E1" w:rsidRDefault="00B80973">
      <w:pPr>
        <w:ind w:firstLineChars="200" w:firstLine="420"/>
        <w:rPr>
          <w:b/>
          <w:bCs/>
        </w:rPr>
      </w:pPr>
      <w:r>
        <w:rPr>
          <w:rFonts w:hint="eastAsia"/>
        </w:rPr>
        <w:t>3</w:t>
      </w:r>
      <w:r>
        <w:t>）</w:t>
      </w:r>
      <w:r>
        <w:rPr>
          <w:rFonts w:hint="eastAsia"/>
        </w:rPr>
        <w:t>融资租入固定资产（认定依据、计价</w:t>
      </w:r>
      <w:r>
        <w:rPr>
          <w:rFonts w:hint="eastAsia"/>
        </w:rPr>
        <w:t>和折旧方法）</w:t>
      </w:r>
    </w:p>
    <w:p w14:paraId="3DEDEA94" w14:textId="77777777" w:rsidR="00AE12E1" w:rsidRDefault="00B80973">
      <w:pPr>
        <w:ind w:firstLineChars="200" w:firstLine="420"/>
      </w:pPr>
      <w:r>
        <w:rPr>
          <w:rFonts w:hint="eastAsia"/>
        </w:rPr>
        <w:t>当本公司租入的固定资产符合下列一项或数项标准时，确认为融资租入固定资产：</w:t>
      </w:r>
      <w:r>
        <w:t xml:space="preserve"> </w:t>
      </w:r>
    </w:p>
    <w:p w14:paraId="6B4D0615" w14:textId="77777777" w:rsidR="00AE12E1" w:rsidRDefault="00B80973">
      <w:pPr>
        <w:ind w:firstLineChars="200" w:firstLine="420"/>
      </w:pPr>
      <w:r>
        <w:t>1</w:t>
      </w:r>
      <w:r>
        <w:t>）在租赁期届满时，租赁资产的所有权转移给本公司。</w:t>
      </w:r>
      <w:r>
        <w:t xml:space="preserve"> </w:t>
      </w:r>
    </w:p>
    <w:p w14:paraId="04EF3710" w14:textId="77777777" w:rsidR="00AE12E1" w:rsidRDefault="00B80973">
      <w:pPr>
        <w:ind w:firstLineChars="200" w:firstLine="420"/>
      </w:pPr>
      <w:r>
        <w:t>2</w:t>
      </w:r>
      <w:r>
        <w:t>）本公司有购买租赁资产的选择权，所订立的购买价款预计将远低于行使选择权时租赁资产的公允价值，因而在租赁</w:t>
      </w:r>
    </w:p>
    <w:p w14:paraId="682015C9" w14:textId="77777777" w:rsidR="00AE12E1" w:rsidRDefault="00B80973">
      <w:r>
        <w:rPr>
          <w:rFonts w:hint="eastAsia"/>
        </w:rPr>
        <w:t>开始日就可以合理确定本公司将会行使这种选择权。</w:t>
      </w:r>
      <w:r>
        <w:t xml:space="preserve"> </w:t>
      </w:r>
    </w:p>
    <w:p w14:paraId="31F0A9F8" w14:textId="77777777" w:rsidR="00AE12E1" w:rsidRDefault="00B80973">
      <w:pPr>
        <w:ind w:firstLineChars="200" w:firstLine="420"/>
      </w:pPr>
      <w:r>
        <w:t>3</w:t>
      </w:r>
      <w:r>
        <w:t>）即使资产的所有权不转移，但租赁期占租赁资产使用寿命的大部分。</w:t>
      </w:r>
      <w:r>
        <w:t xml:space="preserve"> </w:t>
      </w:r>
    </w:p>
    <w:p w14:paraId="78B562C9" w14:textId="77777777" w:rsidR="00AE12E1" w:rsidRDefault="00B80973">
      <w:pPr>
        <w:ind w:firstLineChars="200" w:firstLine="420"/>
      </w:pPr>
      <w:r>
        <w:t>4</w:t>
      </w:r>
      <w:r>
        <w:t>）本公司在租赁开始日的最低租赁付款额现值，几乎相当于租赁开始日租赁资产公允价值。</w:t>
      </w:r>
      <w:r>
        <w:t xml:space="preserve"> </w:t>
      </w:r>
    </w:p>
    <w:p w14:paraId="619BB519" w14:textId="77777777" w:rsidR="00AE12E1" w:rsidRDefault="00B80973">
      <w:pPr>
        <w:ind w:firstLineChars="200" w:firstLine="420"/>
      </w:pPr>
      <w:r>
        <w:rPr>
          <w:rFonts w:hint="eastAsia"/>
        </w:rPr>
        <w:t>本公司采用与自有固定资产相一致的折旧政策计提融资租入固定资产折旧。能够合理确定租赁期届满时取得租赁资产所有权的，在租赁资产使用寿命内计提折旧：无法合理确定租赁期届满时能够取得租赁资产所有权的，在租赁期与租赁资产使用寿命两者中较短的期间内计提折旧。</w:t>
      </w:r>
    </w:p>
    <w:sectPr w:rsidR="00AE1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c4MjY3MWM1ZDM0MTJlMTA3Zjk3NjcwNTEzNzQ1NzUifQ=="/>
  </w:docVars>
  <w:rsids>
    <w:rsidRoot w:val="0015007E"/>
    <w:rsid w:val="00012BE3"/>
    <w:rsid w:val="000458B9"/>
    <w:rsid w:val="00051406"/>
    <w:rsid w:val="00084A66"/>
    <w:rsid w:val="000E594F"/>
    <w:rsid w:val="00102D18"/>
    <w:rsid w:val="0015007E"/>
    <w:rsid w:val="001552A0"/>
    <w:rsid w:val="00161C0A"/>
    <w:rsid w:val="001713FA"/>
    <w:rsid w:val="001D5E0E"/>
    <w:rsid w:val="001E2CF5"/>
    <w:rsid w:val="001E469C"/>
    <w:rsid w:val="00214AC9"/>
    <w:rsid w:val="00236DB1"/>
    <w:rsid w:val="00262164"/>
    <w:rsid w:val="0028494E"/>
    <w:rsid w:val="002A05B2"/>
    <w:rsid w:val="002A5FC2"/>
    <w:rsid w:val="002B5856"/>
    <w:rsid w:val="002E661A"/>
    <w:rsid w:val="00317C97"/>
    <w:rsid w:val="00342988"/>
    <w:rsid w:val="003463E7"/>
    <w:rsid w:val="003825B3"/>
    <w:rsid w:val="003833C8"/>
    <w:rsid w:val="003968A8"/>
    <w:rsid w:val="0040194B"/>
    <w:rsid w:val="004262A5"/>
    <w:rsid w:val="004470AB"/>
    <w:rsid w:val="0046308F"/>
    <w:rsid w:val="00477B4E"/>
    <w:rsid w:val="004D6FC2"/>
    <w:rsid w:val="005013B3"/>
    <w:rsid w:val="00554AAE"/>
    <w:rsid w:val="005A50EE"/>
    <w:rsid w:val="005C1703"/>
    <w:rsid w:val="005E0D3F"/>
    <w:rsid w:val="005E37C8"/>
    <w:rsid w:val="0064306D"/>
    <w:rsid w:val="0065010B"/>
    <w:rsid w:val="006B739C"/>
    <w:rsid w:val="006F52B9"/>
    <w:rsid w:val="00700737"/>
    <w:rsid w:val="007555C1"/>
    <w:rsid w:val="00781901"/>
    <w:rsid w:val="00790010"/>
    <w:rsid w:val="007B3B1A"/>
    <w:rsid w:val="00813E1A"/>
    <w:rsid w:val="00892550"/>
    <w:rsid w:val="008E2176"/>
    <w:rsid w:val="008F03BA"/>
    <w:rsid w:val="009262F4"/>
    <w:rsid w:val="009356D4"/>
    <w:rsid w:val="009404A1"/>
    <w:rsid w:val="00947225"/>
    <w:rsid w:val="00954BF0"/>
    <w:rsid w:val="009A1182"/>
    <w:rsid w:val="009B1E9F"/>
    <w:rsid w:val="00A07965"/>
    <w:rsid w:val="00A749BE"/>
    <w:rsid w:val="00A85DD3"/>
    <w:rsid w:val="00AE12E1"/>
    <w:rsid w:val="00AF23F5"/>
    <w:rsid w:val="00AF7480"/>
    <w:rsid w:val="00B10CC2"/>
    <w:rsid w:val="00B31B6A"/>
    <w:rsid w:val="00B41713"/>
    <w:rsid w:val="00B6360F"/>
    <w:rsid w:val="00B701F4"/>
    <w:rsid w:val="00B80973"/>
    <w:rsid w:val="00B93B96"/>
    <w:rsid w:val="00B93E3D"/>
    <w:rsid w:val="00BB1A7F"/>
    <w:rsid w:val="00BB640A"/>
    <w:rsid w:val="00BD64C6"/>
    <w:rsid w:val="00BF75DF"/>
    <w:rsid w:val="00C40A97"/>
    <w:rsid w:val="00C61F33"/>
    <w:rsid w:val="00C95D6D"/>
    <w:rsid w:val="00CB0232"/>
    <w:rsid w:val="00CB69BB"/>
    <w:rsid w:val="00CC6302"/>
    <w:rsid w:val="00CE34A8"/>
    <w:rsid w:val="00D8419C"/>
    <w:rsid w:val="00DA0235"/>
    <w:rsid w:val="00DA5EE4"/>
    <w:rsid w:val="00DB47A6"/>
    <w:rsid w:val="00DC1CEF"/>
    <w:rsid w:val="00DE473E"/>
    <w:rsid w:val="00E11834"/>
    <w:rsid w:val="00E30F9E"/>
    <w:rsid w:val="00E34A86"/>
    <w:rsid w:val="00E568E5"/>
    <w:rsid w:val="00E65575"/>
    <w:rsid w:val="00E82329"/>
    <w:rsid w:val="00EC2949"/>
    <w:rsid w:val="00EE6FF5"/>
    <w:rsid w:val="00F03F2F"/>
    <w:rsid w:val="00F1393C"/>
    <w:rsid w:val="00F22FD8"/>
    <w:rsid w:val="00F36984"/>
    <w:rsid w:val="00F45145"/>
    <w:rsid w:val="00F77106"/>
    <w:rsid w:val="00FE7108"/>
    <w:rsid w:val="2EA34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2C81AE"/>
  <w15:docId w15:val="{6F8CBB97-8C16-48F9-A3BC-81FBF1B1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annotation subject"/>
    <w:basedOn w:val="a3"/>
    <w:next w:val="a3"/>
    <w:link w:val="a6"/>
    <w:uiPriority w:val="99"/>
    <w:semiHidden/>
    <w:unhideWhenUsed/>
    <w:rPr>
      <w:b/>
      <w:bCs/>
    </w:rPr>
  </w:style>
  <w:style w:type="character" w:styleId="a7">
    <w:name w:val="Hyperlink"/>
    <w:basedOn w:val="a0"/>
    <w:uiPriority w:val="99"/>
    <w:unhideWhenUsed/>
    <w:rPr>
      <w:color w:val="0563C1" w:themeColor="hyperlink"/>
      <w:u w:val="single"/>
    </w:rPr>
  </w:style>
  <w:style w:type="character" w:styleId="a8">
    <w:name w:val="annotation reference"/>
    <w:basedOn w:val="a0"/>
    <w:uiPriority w:val="99"/>
    <w:semiHidden/>
    <w:unhideWhenUsed/>
    <w:rPr>
      <w:sz w:val="21"/>
      <w:szCs w:val="21"/>
    </w:rPr>
  </w:style>
  <w:style w:type="paragraph" w:styleId="a9">
    <w:name w:val="List Paragraph"/>
    <w:basedOn w:val="a"/>
    <w:uiPriority w:val="34"/>
    <w:qFormat/>
    <w:pPr>
      <w:ind w:firstLineChars="200" w:firstLine="420"/>
    </w:pPr>
  </w:style>
  <w:style w:type="character" w:customStyle="1" w:styleId="a4">
    <w:name w:val="批注文字 字符"/>
    <w:basedOn w:val="a0"/>
    <w:link w:val="a3"/>
    <w:uiPriority w:val="99"/>
    <w:semiHidden/>
  </w:style>
  <w:style w:type="character" w:customStyle="1" w:styleId="a6">
    <w:name w:val="批注主题 字符"/>
    <w:basedOn w:val="a4"/>
    <w:link w:val="a5"/>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baike.so.com/doc/8560734-888143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5.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indy%20Chang\Desktop\Cindy%20Chang\SUIBE\&#27963;&#21160;\&#20114;&#32852;&#32593;\&#24066;&#36187;&#20934;&#22791;\&#21033;&#280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indy%20Chang\Desktop\Cindy%20Chang\SUIBE\&#27963;&#21160;\&#20114;&#32852;&#32593;\&#26368;&#32456;\&#21033;&#28070;&#34920;&#65288;&#25913;&#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indy%20Chang\Desktop\Cindy%20Chang\SUIBE\&#27963;&#21160;\&#20114;&#32852;&#32593;\&#24066;&#36187;&#20934;&#22791;\&#21033;&#280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indy%20Chang\Desktop\Cindy%20Chang\SUIBE\&#27963;&#21160;\&#20114;&#32852;&#32593;\&#26368;&#32456;\final\&#20462;&#25913;\&#21033;&#280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indy%20Chang\Desktop\Cindy%20Chang\SUIBE\&#27963;&#21160;\&#20114;&#32852;&#32593;\&#26368;&#32456;\final\&#21033;&#28070;&#34920;%20V2&#65288;&#25972;&#25968;&#35843;&#25972;&#6528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indy%20Chang\Desktop\Cindy%20Chang\SUIBE\&#27963;&#21160;\&#20114;&#32852;&#32593;\&#24066;&#36187;&#20934;&#22791;\&#21033;&#28070;&#3492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利润表!$M$3</c:f>
              <c:strCache>
                <c:ptCount val="1"/>
                <c:pt idx="0">
                  <c:v>商家入驻收入</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利润表!$N$2:$X$2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利润表!$N$3:$X$3</c:f>
              <c:numCache>
                <c:formatCode>0%</c:formatCode>
                <c:ptCount val="11"/>
                <c:pt idx="0">
                  <c:v>0.30507213768149199</c:v>
                </c:pt>
                <c:pt idx="1">
                  <c:v>0.25002023234084497</c:v>
                </c:pt>
                <c:pt idx="2">
                  <c:v>0.200576967459035</c:v>
                </c:pt>
                <c:pt idx="3">
                  <c:v>0.15794639486598699</c:v>
                </c:pt>
                <c:pt idx="4">
                  <c:v>0.122440517696488</c:v>
                </c:pt>
                <c:pt idx="5">
                  <c:v>9.16338192534671E-2</c:v>
                </c:pt>
                <c:pt idx="6">
                  <c:v>6.9823885187293294E-2</c:v>
                </c:pt>
                <c:pt idx="7">
                  <c:v>5.2712492201593401E-2</c:v>
                </c:pt>
                <c:pt idx="8">
                  <c:v>3.9510019047543497E-2</c:v>
                </c:pt>
                <c:pt idx="9">
                  <c:v>2.94534380046459E-2</c:v>
                </c:pt>
                <c:pt idx="10">
                  <c:v>2.1866685683303799E-2</c:v>
                </c:pt>
              </c:numCache>
            </c:numRef>
          </c:val>
          <c:extLst>
            <c:ext xmlns:c16="http://schemas.microsoft.com/office/drawing/2014/chart" uri="{C3380CC4-5D6E-409C-BE32-E72D297353CC}">
              <c16:uniqueId val="{00000000-9001-441A-8EE4-3AD53B84F425}"/>
            </c:ext>
          </c:extLst>
        </c:ser>
        <c:ser>
          <c:idx val="1"/>
          <c:order val="1"/>
          <c:tx>
            <c:strRef>
              <c:f>利润表!$M$4</c:f>
              <c:strCache>
                <c:ptCount val="1"/>
                <c:pt idx="0">
                  <c:v>文娱收入</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利润表!$N$2:$X$2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利润表!$N$4:$X$4</c:f>
              <c:numCache>
                <c:formatCode>0%</c:formatCode>
                <c:ptCount val="11"/>
                <c:pt idx="0">
                  <c:v>8.2652976884717497E-2</c:v>
                </c:pt>
                <c:pt idx="1">
                  <c:v>6.6214933674708099E-2</c:v>
                </c:pt>
                <c:pt idx="2">
                  <c:v>5.1927071313177899E-2</c:v>
                </c:pt>
                <c:pt idx="3">
                  <c:v>3.9970688162014503E-2</c:v>
                </c:pt>
                <c:pt idx="4">
                  <c:v>3.0288755630629199E-2</c:v>
                </c:pt>
                <c:pt idx="5">
                  <c:v>4.43163101255383E-2</c:v>
                </c:pt>
                <c:pt idx="6">
                  <c:v>3.3009289875969898E-2</c:v>
                </c:pt>
                <c:pt idx="7">
                  <c:v>2.4359448014908001E-2</c:v>
                </c:pt>
                <c:pt idx="8">
                  <c:v>1.7847776315802501E-2</c:v>
                </c:pt>
                <c:pt idx="9">
                  <c:v>1.30056393897465E-2</c:v>
                </c:pt>
                <c:pt idx="10">
                  <c:v>9.4384044482151395E-3</c:v>
                </c:pt>
              </c:numCache>
            </c:numRef>
          </c:val>
          <c:extLst>
            <c:ext xmlns:c16="http://schemas.microsoft.com/office/drawing/2014/chart" uri="{C3380CC4-5D6E-409C-BE32-E72D297353CC}">
              <c16:uniqueId val="{00000001-9001-441A-8EE4-3AD53B84F425}"/>
            </c:ext>
          </c:extLst>
        </c:ser>
        <c:ser>
          <c:idx val="2"/>
          <c:order val="2"/>
          <c:tx>
            <c:strRef>
              <c:f>利润表!$M$5</c:f>
              <c:strCache>
                <c:ptCount val="1"/>
                <c:pt idx="0">
                  <c:v>线上植物商店收入</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利润表!$N$2:$X$2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利润表!$N$5:$X$5</c:f>
              <c:numCache>
                <c:formatCode>0%</c:formatCode>
                <c:ptCount val="11"/>
                <c:pt idx="0">
                  <c:v>0.61227488543379005</c:v>
                </c:pt>
                <c:pt idx="1">
                  <c:v>0.68376483398444698</c:v>
                </c:pt>
                <c:pt idx="2">
                  <c:v>0.74749596122778705</c:v>
                </c:pt>
                <c:pt idx="3">
                  <c:v>0.80208291697199796</c:v>
                </c:pt>
                <c:pt idx="4">
                  <c:v>0.84727072667288295</c:v>
                </c:pt>
                <c:pt idx="5">
                  <c:v>0.86404987062099503</c:v>
                </c:pt>
                <c:pt idx="6">
                  <c:v>0.89716682493673705</c:v>
                </c:pt>
                <c:pt idx="7">
                  <c:v>0.92292805978349901</c:v>
                </c:pt>
                <c:pt idx="8">
                  <c:v>0.94264220463665405</c:v>
                </c:pt>
                <c:pt idx="9">
                  <c:v>0.95754092260560797</c:v>
                </c:pt>
                <c:pt idx="10">
                  <c:v>0.96869490986848095</c:v>
                </c:pt>
              </c:numCache>
            </c:numRef>
          </c:val>
          <c:extLst>
            <c:ext xmlns:c16="http://schemas.microsoft.com/office/drawing/2014/chart" uri="{C3380CC4-5D6E-409C-BE32-E72D297353CC}">
              <c16:uniqueId val="{00000002-9001-441A-8EE4-3AD53B84F425}"/>
            </c:ext>
          </c:extLst>
        </c:ser>
        <c:dLbls>
          <c:showLegendKey val="0"/>
          <c:showVal val="1"/>
          <c:showCatName val="0"/>
          <c:showSerName val="0"/>
          <c:showPercent val="0"/>
          <c:showBubbleSize val="0"/>
        </c:dLbls>
        <c:gapWidth val="150"/>
        <c:overlap val="100"/>
        <c:axId val="293271088"/>
        <c:axId val="293267344"/>
      </c:barChart>
      <c:catAx>
        <c:axId val="29327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93267344"/>
        <c:crosses val="autoZero"/>
        <c:auto val="1"/>
        <c:lblAlgn val="ctr"/>
        <c:lblOffset val="100"/>
        <c:noMultiLvlLbl val="0"/>
      </c:catAx>
      <c:valAx>
        <c:axId val="293267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9327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利润表!$K$2</c:f>
              <c:strCache>
                <c:ptCount val="1"/>
                <c:pt idx="0">
                  <c:v>植物种子销售量构成</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E3-4D1F-A889-276A8C3155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E3-4D1F-A889-276A8C3155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E3-4D1F-A889-276A8C31553B}"/>
              </c:ext>
            </c:extLst>
          </c:dPt>
          <c:dLbls>
            <c:dLbl>
              <c:idx val="2"/>
              <c:layout>
                <c:manualLayout>
                  <c:x val="4.9027340332458397E-2"/>
                  <c:y val="0.10417432195975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0E3-4D1F-A889-276A8C31553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利润表!$J$3:$J$5</c:f>
              <c:strCache>
                <c:ptCount val="3"/>
                <c:pt idx="0">
                  <c:v>观赏型植物</c:v>
                </c:pt>
                <c:pt idx="1">
                  <c:v>食用型植物</c:v>
                </c:pt>
                <c:pt idx="2">
                  <c:v>其他</c:v>
                </c:pt>
              </c:strCache>
            </c:strRef>
          </c:cat>
          <c:val>
            <c:numRef>
              <c:f>利润表!$K$3:$K$5</c:f>
              <c:numCache>
                <c:formatCode>0%</c:formatCode>
                <c:ptCount val="3"/>
                <c:pt idx="0">
                  <c:v>0.79200000000000004</c:v>
                </c:pt>
                <c:pt idx="1">
                  <c:v>0.11600000000000001</c:v>
                </c:pt>
                <c:pt idx="2">
                  <c:v>9.1999999999999998E-2</c:v>
                </c:pt>
              </c:numCache>
            </c:numRef>
          </c:val>
          <c:extLst>
            <c:ext xmlns:c16="http://schemas.microsoft.com/office/drawing/2014/chart" uri="{C3380CC4-5D6E-409C-BE32-E72D297353CC}">
              <c16:uniqueId val="{00000006-00E3-4D1F-A889-276A8C31553B}"/>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利润表!$AC$3</c:f>
              <c:strCache>
                <c:ptCount val="1"/>
                <c:pt idx="0">
                  <c:v>植物商店</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利润表!$AD$2:$AN$2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利润表!$AD$3:$AN$3</c:f>
              <c:numCache>
                <c:formatCode>0%</c:formatCode>
                <c:ptCount val="11"/>
                <c:pt idx="0">
                  <c:v>0.54585289227349099</c:v>
                </c:pt>
                <c:pt idx="1">
                  <c:v>0.37441490621581103</c:v>
                </c:pt>
                <c:pt idx="2">
                  <c:v>0.33327994447558801</c:v>
                </c:pt>
                <c:pt idx="3">
                  <c:v>0.38579411175080403</c:v>
                </c:pt>
                <c:pt idx="4">
                  <c:v>0.22313301569411001</c:v>
                </c:pt>
                <c:pt idx="5">
                  <c:v>0.17710555489304899</c:v>
                </c:pt>
                <c:pt idx="6">
                  <c:v>0.21211360989158701</c:v>
                </c:pt>
                <c:pt idx="7">
                  <c:v>0.10642965472815</c:v>
                </c:pt>
                <c:pt idx="8">
                  <c:v>8.1019261182847205E-2</c:v>
                </c:pt>
                <c:pt idx="9">
                  <c:v>9.7707732034053196E-2</c:v>
                </c:pt>
                <c:pt idx="10">
                  <c:v>4.5808858540882597E-2</c:v>
                </c:pt>
              </c:numCache>
            </c:numRef>
          </c:val>
          <c:extLst>
            <c:ext xmlns:c16="http://schemas.microsoft.com/office/drawing/2014/chart" uri="{C3380CC4-5D6E-409C-BE32-E72D297353CC}">
              <c16:uniqueId val="{00000000-180C-4B22-B630-21546DB398F4}"/>
            </c:ext>
          </c:extLst>
        </c:ser>
        <c:ser>
          <c:idx val="1"/>
          <c:order val="1"/>
          <c:tx>
            <c:strRef>
              <c:f>利润表!$AC$4</c:f>
              <c:strCache>
                <c:ptCount val="1"/>
                <c:pt idx="0">
                  <c:v>植物王国艺术馆</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利润表!$AD$2:$AN$2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利润表!$AD$4:$AN$4</c:f>
              <c:numCache>
                <c:formatCode>0%</c:formatCode>
                <c:ptCount val="11"/>
                <c:pt idx="0">
                  <c:v>0.14792529786237199</c:v>
                </c:pt>
                <c:pt idx="1">
                  <c:v>0.10146513123019101</c:v>
                </c:pt>
                <c:pt idx="2">
                  <c:v>9.0316151019282295E-2</c:v>
                </c:pt>
                <c:pt idx="3">
                  <c:v>0.104268373601986</c:v>
                </c:pt>
                <c:pt idx="4">
                  <c:v>6.0305912757370302E-2</c:v>
                </c:pt>
                <c:pt idx="5">
                  <c:v>4.7868276114887399E-2</c:v>
                </c:pt>
                <c:pt idx="6">
                  <c:v>5.7327599080130201E-2</c:v>
                </c:pt>
                <c:pt idx="7">
                  <c:v>2.8765045726836001E-2</c:v>
                </c:pt>
                <c:pt idx="8">
                  <c:v>2.18976586886694E-2</c:v>
                </c:pt>
                <c:pt idx="9">
                  <c:v>2.6407709496689798E-2</c:v>
                </c:pt>
                <c:pt idx="10">
                  <c:v>1.2381075704726199E-2</c:v>
                </c:pt>
              </c:numCache>
            </c:numRef>
          </c:val>
          <c:extLst>
            <c:ext xmlns:c16="http://schemas.microsoft.com/office/drawing/2014/chart" uri="{C3380CC4-5D6E-409C-BE32-E72D297353CC}">
              <c16:uniqueId val="{00000001-180C-4B22-B630-21546DB398F4}"/>
            </c:ext>
          </c:extLst>
        </c:ser>
        <c:ser>
          <c:idx val="2"/>
          <c:order val="2"/>
          <c:tx>
            <c:strRef>
              <c:f>利润表!$AC$5</c:f>
              <c:strCache>
                <c:ptCount val="1"/>
                <c:pt idx="0">
                  <c:v>植物数字藏品</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利润表!$AD$2:$AN$2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利润表!$AD$5:$AN$5</c:f>
              <c:numCache>
                <c:formatCode>0%</c:formatCode>
                <c:ptCount val="11"/>
                <c:pt idx="0">
                  <c:v>0.306221809864136</c:v>
                </c:pt>
                <c:pt idx="1">
                  <c:v>0.52411996255399795</c:v>
                </c:pt>
                <c:pt idx="2">
                  <c:v>0.57640390450513002</c:v>
                </c:pt>
                <c:pt idx="3">
                  <c:v>0.50993751464721004</c:v>
                </c:pt>
                <c:pt idx="4">
                  <c:v>0.71656107154852</c:v>
                </c:pt>
                <c:pt idx="5">
                  <c:v>0.775026168992063</c:v>
                </c:pt>
                <c:pt idx="6">
                  <c:v>0.73055879102828303</c:v>
                </c:pt>
                <c:pt idx="7">
                  <c:v>0.86480529954501395</c:v>
                </c:pt>
                <c:pt idx="8">
                  <c:v>0.89708308012848303</c:v>
                </c:pt>
                <c:pt idx="9">
                  <c:v>0.87588455846925695</c:v>
                </c:pt>
                <c:pt idx="10">
                  <c:v>0.94181006575439097</c:v>
                </c:pt>
              </c:numCache>
            </c:numRef>
          </c:val>
          <c:extLst>
            <c:ext xmlns:c16="http://schemas.microsoft.com/office/drawing/2014/chart" uri="{C3380CC4-5D6E-409C-BE32-E72D297353CC}">
              <c16:uniqueId val="{00000002-180C-4B22-B630-21546DB398F4}"/>
            </c:ext>
          </c:extLst>
        </c:ser>
        <c:dLbls>
          <c:showLegendKey val="0"/>
          <c:showVal val="1"/>
          <c:showCatName val="0"/>
          <c:showSerName val="0"/>
          <c:showPercent val="0"/>
          <c:showBubbleSize val="0"/>
        </c:dLbls>
        <c:gapWidth val="150"/>
        <c:overlap val="100"/>
        <c:axId val="1368292112"/>
        <c:axId val="1368312080"/>
      </c:barChart>
      <c:catAx>
        <c:axId val="136829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68312080"/>
        <c:crosses val="autoZero"/>
        <c:auto val="1"/>
        <c:lblAlgn val="ctr"/>
        <c:lblOffset val="100"/>
        <c:noMultiLvlLbl val="0"/>
      </c:catAx>
      <c:valAx>
        <c:axId val="1368312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6829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利润表!$A$23</c:f>
              <c:strCache>
                <c:ptCount val="1"/>
                <c:pt idx="0">
                  <c:v>营业利润率</c:v>
                </c:pt>
              </c:strCache>
            </c:strRef>
          </c:tx>
          <c:spPr>
            <a:ln w="28575" cap="rnd">
              <a:solidFill>
                <a:schemeClr val="accent1"/>
              </a:solidFill>
              <a:round/>
            </a:ln>
            <a:effectLst/>
          </c:spPr>
          <c:marker>
            <c:symbol val="none"/>
          </c:marker>
          <c:cat>
            <c:strRef>
              <c:f>利润表!$B$22:$L$22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利润表!$B$23:$L$23</c:f>
              <c:numCache>
                <c:formatCode>0.00%</c:formatCode>
                <c:ptCount val="11"/>
                <c:pt idx="0">
                  <c:v>-0.53715251310968004</c:v>
                </c:pt>
                <c:pt idx="1">
                  <c:v>-1.4765930209459901E-2</c:v>
                </c:pt>
                <c:pt idx="2">
                  <c:v>-1.7453265635818099E-2</c:v>
                </c:pt>
                <c:pt idx="3">
                  <c:v>-0.17848466679990199</c:v>
                </c:pt>
                <c:pt idx="4">
                  <c:v>6.7059224869281397E-2</c:v>
                </c:pt>
                <c:pt idx="5">
                  <c:v>0.148917574125184</c:v>
                </c:pt>
                <c:pt idx="6">
                  <c:v>0.123482256278929</c:v>
                </c:pt>
                <c:pt idx="7">
                  <c:v>0.22709643499478299</c:v>
                </c:pt>
                <c:pt idx="8">
                  <c:v>0.256923697781621</c:v>
                </c:pt>
                <c:pt idx="9">
                  <c:v>0.25118477762163</c:v>
                </c:pt>
                <c:pt idx="10">
                  <c:v>0.29554370977535499</c:v>
                </c:pt>
              </c:numCache>
            </c:numRef>
          </c:val>
          <c:smooth val="0"/>
          <c:extLst>
            <c:ext xmlns:c16="http://schemas.microsoft.com/office/drawing/2014/chart" uri="{C3380CC4-5D6E-409C-BE32-E72D297353CC}">
              <c16:uniqueId val="{00000000-AF96-46CB-9237-969A41B94DE2}"/>
            </c:ext>
          </c:extLst>
        </c:ser>
        <c:ser>
          <c:idx val="1"/>
          <c:order val="1"/>
          <c:tx>
            <c:strRef>
              <c:f>利润表!$A$25</c:f>
              <c:strCache>
                <c:ptCount val="1"/>
                <c:pt idx="0">
                  <c:v>销售净利率</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strRef>
              <c:f>利润表!$B$22:$L$22</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利润表!$B$25:$L$25</c:f>
              <c:numCache>
                <c:formatCode>0.00%</c:formatCode>
                <c:ptCount val="11"/>
                <c:pt idx="0">
                  <c:v>-0.53072394824086899</c:v>
                </c:pt>
                <c:pt idx="1">
                  <c:v>-1.4765930209459901E-2</c:v>
                </c:pt>
                <c:pt idx="2">
                  <c:v>-1.7453265635818099E-2</c:v>
                </c:pt>
                <c:pt idx="3">
                  <c:v>-0.17848466679990199</c:v>
                </c:pt>
                <c:pt idx="4">
                  <c:v>5.6329748890196402E-2</c:v>
                </c:pt>
                <c:pt idx="5">
                  <c:v>0.125090762265154</c:v>
                </c:pt>
                <c:pt idx="6">
                  <c:v>0.103725095274301</c:v>
                </c:pt>
                <c:pt idx="7">
                  <c:v>0.19076100539561799</c:v>
                </c:pt>
                <c:pt idx="8">
                  <c:v>0.21581590613656099</c:v>
                </c:pt>
                <c:pt idx="9">
                  <c:v>0.21099521320216899</c:v>
                </c:pt>
                <c:pt idx="10">
                  <c:v>0.24825671621129899</c:v>
                </c:pt>
              </c:numCache>
            </c:numRef>
          </c:val>
          <c:smooth val="0"/>
          <c:extLst>
            <c:ext xmlns:c16="http://schemas.microsoft.com/office/drawing/2014/chart" uri="{C3380CC4-5D6E-409C-BE32-E72D297353CC}">
              <c16:uniqueId val="{00000002-AF96-46CB-9237-969A41B94DE2}"/>
            </c:ext>
          </c:extLst>
        </c:ser>
        <c:dLbls>
          <c:showLegendKey val="0"/>
          <c:showVal val="0"/>
          <c:showCatName val="0"/>
          <c:showSerName val="0"/>
          <c:showPercent val="0"/>
          <c:showBubbleSize val="0"/>
        </c:dLbls>
        <c:smooth val="0"/>
        <c:axId val="1370961232"/>
        <c:axId val="1370962064"/>
      </c:lineChart>
      <c:catAx>
        <c:axId val="137096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962064"/>
        <c:crosses val="autoZero"/>
        <c:auto val="1"/>
        <c:lblAlgn val="ctr"/>
        <c:lblOffset val="100"/>
        <c:noMultiLvlLbl val="0"/>
      </c:catAx>
      <c:valAx>
        <c:axId val="1370962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96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利润表!$B$42</c:f>
              <c:strCache>
                <c:ptCount val="1"/>
                <c:pt idx="0">
                  <c:v>营业收入</c:v>
                </c:pt>
              </c:strCache>
            </c:strRef>
          </c:tx>
          <c:spPr>
            <a:solidFill>
              <a:schemeClr val="accent1"/>
            </a:solidFill>
            <a:ln>
              <a:noFill/>
            </a:ln>
            <a:effectLst/>
          </c:spPr>
          <c:invertIfNegative val="0"/>
          <c:cat>
            <c:strRef>
              <c:f>利润表!$A$43:$A$53</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利润表!$B$43:$B$53</c:f>
              <c:numCache>
                <c:formatCode>#,##0_);[Red]\(#,##0\)</c:formatCode>
                <c:ptCount val="11"/>
                <c:pt idx="0">
                  <c:v>1088890</c:v>
                </c:pt>
                <c:pt idx="1">
                  <c:v>1359210</c:v>
                </c:pt>
                <c:pt idx="2">
                  <c:v>1733200</c:v>
                </c:pt>
                <c:pt idx="3">
                  <c:v>2251650</c:v>
                </c:pt>
                <c:pt idx="4">
                  <c:v>2971399.72</c:v>
                </c:pt>
                <c:pt idx="5">
                  <c:v>3971710</c:v>
                </c:pt>
                <c:pt idx="6">
                  <c:v>5363010.37</c:v>
                </c:pt>
                <c:pt idx="7">
                  <c:v>7299330</c:v>
                </c:pt>
                <c:pt idx="8">
                  <c:v>9995290</c:v>
                </c:pt>
                <c:pt idx="9">
                  <c:v>13750150</c:v>
                </c:pt>
                <c:pt idx="10">
                  <c:v>18981020</c:v>
                </c:pt>
              </c:numCache>
            </c:numRef>
          </c:val>
          <c:extLst>
            <c:ext xmlns:c16="http://schemas.microsoft.com/office/drawing/2014/chart" uri="{C3380CC4-5D6E-409C-BE32-E72D297353CC}">
              <c16:uniqueId val="{00000000-3068-4F4E-AA88-3132B2DEF0D4}"/>
            </c:ext>
          </c:extLst>
        </c:ser>
        <c:ser>
          <c:idx val="1"/>
          <c:order val="1"/>
          <c:tx>
            <c:strRef>
              <c:f>利润表!$C$42</c:f>
              <c:strCache>
                <c:ptCount val="1"/>
                <c:pt idx="0">
                  <c:v>营业成本</c:v>
                </c:pt>
              </c:strCache>
            </c:strRef>
          </c:tx>
          <c:spPr>
            <a:solidFill>
              <a:schemeClr val="accent2"/>
            </a:solidFill>
            <a:ln>
              <a:noFill/>
            </a:ln>
            <a:effectLst/>
          </c:spPr>
          <c:invertIfNegative val="0"/>
          <c:cat>
            <c:strRef>
              <c:f>利润表!$A$43:$A$53</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利润表!$C$43:$C$53</c:f>
              <c:numCache>
                <c:formatCode>#,##0_);[Red]\(#,##0\)</c:formatCode>
                <c:ptCount val="11"/>
                <c:pt idx="0">
                  <c:v>1088590</c:v>
                </c:pt>
                <c:pt idx="1">
                  <c:v>886610</c:v>
                </c:pt>
                <c:pt idx="2">
                  <c:v>1123830</c:v>
                </c:pt>
                <c:pt idx="3">
                  <c:v>1770815</c:v>
                </c:pt>
                <c:pt idx="4">
                  <c:v>1756710</c:v>
                </c:pt>
                <c:pt idx="5">
                  <c:v>2264130</c:v>
                </c:pt>
                <c:pt idx="6">
                  <c:v>3348300</c:v>
                </c:pt>
                <c:pt idx="7">
                  <c:v>3942980</c:v>
                </c:pt>
                <c:pt idx="8">
                  <c:v>5298740</c:v>
                </c:pt>
                <c:pt idx="9">
                  <c:v>7565215</c:v>
                </c:pt>
                <c:pt idx="10">
                  <c:v>9807710</c:v>
                </c:pt>
              </c:numCache>
            </c:numRef>
          </c:val>
          <c:extLst>
            <c:ext xmlns:c16="http://schemas.microsoft.com/office/drawing/2014/chart" uri="{C3380CC4-5D6E-409C-BE32-E72D297353CC}">
              <c16:uniqueId val="{00000001-3068-4F4E-AA88-3132B2DEF0D4}"/>
            </c:ext>
          </c:extLst>
        </c:ser>
        <c:ser>
          <c:idx val="2"/>
          <c:order val="2"/>
          <c:tx>
            <c:strRef>
              <c:f>利润表!$D$42</c:f>
              <c:strCache>
                <c:ptCount val="1"/>
                <c:pt idx="0">
                  <c:v>净利润</c:v>
                </c:pt>
              </c:strCache>
            </c:strRef>
          </c:tx>
          <c:spPr>
            <a:solidFill>
              <a:schemeClr val="accent3"/>
            </a:solidFill>
            <a:ln>
              <a:noFill/>
            </a:ln>
            <a:effectLst/>
          </c:spPr>
          <c:invertIfNegative val="0"/>
          <c:cat>
            <c:strRef>
              <c:f>利润表!$A$43:$A$53</c:f>
              <c:strCache>
                <c:ptCount val="11"/>
                <c:pt idx="0">
                  <c:v>2022年</c:v>
                </c:pt>
                <c:pt idx="1">
                  <c:v>2023年</c:v>
                </c:pt>
                <c:pt idx="2">
                  <c:v>2024年</c:v>
                </c:pt>
                <c:pt idx="3">
                  <c:v>2025年</c:v>
                </c:pt>
                <c:pt idx="4">
                  <c:v>2026年</c:v>
                </c:pt>
                <c:pt idx="5">
                  <c:v>2027年</c:v>
                </c:pt>
                <c:pt idx="6">
                  <c:v>2028年</c:v>
                </c:pt>
                <c:pt idx="7">
                  <c:v>2029年</c:v>
                </c:pt>
                <c:pt idx="8">
                  <c:v>2030年</c:v>
                </c:pt>
                <c:pt idx="9">
                  <c:v>2031年</c:v>
                </c:pt>
                <c:pt idx="10">
                  <c:v>2032年</c:v>
                </c:pt>
              </c:strCache>
            </c:strRef>
          </c:cat>
          <c:val>
            <c:numRef>
              <c:f>利润表!$D$43:$D$53</c:f>
              <c:numCache>
                <c:formatCode>#,##0_);[Red]\(#,##0\)</c:formatCode>
                <c:ptCount val="11"/>
                <c:pt idx="0">
                  <c:v>-577900</c:v>
                </c:pt>
                <c:pt idx="1">
                  <c:v>-20070</c:v>
                </c:pt>
                <c:pt idx="2">
                  <c:v>-30250</c:v>
                </c:pt>
                <c:pt idx="3">
                  <c:v>-401885</c:v>
                </c:pt>
                <c:pt idx="4">
                  <c:v>167378.20008000001</c:v>
                </c:pt>
                <c:pt idx="5">
                  <c:v>432482.4</c:v>
                </c:pt>
                <c:pt idx="6">
                  <c:v>490014.02016000001</c:v>
                </c:pt>
                <c:pt idx="7">
                  <c:v>1345336.02</c:v>
                </c:pt>
                <c:pt idx="8">
                  <c:v>2100966</c:v>
                </c:pt>
                <c:pt idx="9">
                  <c:v>2844605.4</c:v>
                </c:pt>
                <c:pt idx="10">
                  <c:v>4658908.8</c:v>
                </c:pt>
              </c:numCache>
            </c:numRef>
          </c:val>
          <c:extLst>
            <c:ext xmlns:c16="http://schemas.microsoft.com/office/drawing/2014/chart" uri="{C3380CC4-5D6E-409C-BE32-E72D297353CC}">
              <c16:uniqueId val="{00000002-3068-4F4E-AA88-3132B2DEF0D4}"/>
            </c:ext>
          </c:extLst>
        </c:ser>
        <c:dLbls>
          <c:showLegendKey val="0"/>
          <c:showVal val="0"/>
          <c:showCatName val="0"/>
          <c:showSerName val="0"/>
          <c:showPercent val="0"/>
          <c:showBubbleSize val="0"/>
        </c:dLbls>
        <c:gapWidth val="219"/>
        <c:overlap val="-27"/>
        <c:axId val="2036620000"/>
        <c:axId val="2036624992"/>
      </c:barChart>
      <c:catAx>
        <c:axId val="203662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36624992"/>
        <c:crosses val="autoZero"/>
        <c:auto val="1"/>
        <c:lblAlgn val="ctr"/>
        <c:lblOffset val="100"/>
        <c:noMultiLvlLbl val="0"/>
      </c:catAx>
      <c:valAx>
        <c:axId val="2036624992"/>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3662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Sheet1!$A$3</c:f>
              <c:strCache>
                <c:ptCount val="1"/>
                <c:pt idx="0">
                  <c:v>比例</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16-4285-9091-F101061136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16-4285-9091-F101061136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16-4285-9091-F101061136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016-4285-9091-F10106113610}"/>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Sheet1!$B$1:$E$1</c:f>
              <c:strCache>
                <c:ptCount val="4"/>
                <c:pt idx="0">
                  <c:v>内部筹资</c:v>
                </c:pt>
                <c:pt idx="1">
                  <c:v>专利技术</c:v>
                </c:pt>
                <c:pt idx="2">
                  <c:v>风险投资</c:v>
                </c:pt>
                <c:pt idx="3">
                  <c:v>政府补贴</c:v>
                </c:pt>
              </c:strCache>
            </c:strRef>
          </c:cat>
          <c:val>
            <c:numRef>
              <c:f>Sheet1!$B$3:$E$3</c:f>
              <c:numCache>
                <c:formatCode>0%</c:formatCode>
                <c:ptCount val="4"/>
                <c:pt idx="0">
                  <c:v>0.1</c:v>
                </c:pt>
                <c:pt idx="1">
                  <c:v>0.7</c:v>
                </c:pt>
                <c:pt idx="2">
                  <c:v>0.15</c:v>
                </c:pt>
                <c:pt idx="3">
                  <c:v>0.05</c:v>
                </c:pt>
              </c:numCache>
            </c:numRef>
          </c:val>
          <c:extLst>
            <c:ext xmlns:c16="http://schemas.microsoft.com/office/drawing/2014/chart" uri="{C3380CC4-5D6E-409C-BE32-E72D297353CC}">
              <c16:uniqueId val="{00000008-1016-4285-9091-F1010611361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昌 晓蕾</dc:creator>
  <cp:lastModifiedBy>昌 晓蕾</cp:lastModifiedBy>
  <cp:revision>94</cp:revision>
  <dcterms:created xsi:type="dcterms:W3CDTF">2022-06-23T15:29:00Z</dcterms:created>
  <dcterms:modified xsi:type="dcterms:W3CDTF">2022-06-24T12:27:00Z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E14C8312B15D45E68F72BCADD555330D</vt:lpwstr>
  </property>
</Properties>
</file>